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426" w:type="dxa"/>
        <w:jc w:val="left"/>
        <w:tblInd w:w="0" w:type="dxa"/>
        <w:tblBorders>
          <w:left w:val="single" w:sz="12" w:space="0" w:color="00000A"/>
          <w:bottom w:val="single" w:sz="18" w:space="0" w:color="00000A"/>
          <w:right w:val="single" w:sz="12" w:space="0" w:color="00000A"/>
          <w:insideH w:val="single" w:sz="18" w:space="0" w:color="00000A"/>
          <w:insideV w:val="single" w:sz="12" w:space="0" w:color="00000A"/>
        </w:tblBorders>
        <w:tblCellMar>
          <w:top w:w="0" w:type="dxa"/>
          <w:left w:w="55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9426"/>
      </w:tblGrid>
      <w:tr>
        <w:trPr/>
        <w:tc>
          <w:tcPr>
            <w:tcW w:w="9426" w:type="dxa"/>
            <w:tcBorders>
              <w:left w:val="single" w:sz="12" w:space="0" w:color="00000A"/>
              <w:bottom w:val="single" w:sz="18" w:space="0" w:color="00000A"/>
              <w:right w:val="single" w:sz="12" w:space="0" w:color="00000A"/>
              <w:insideH w:val="single" w:sz="18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1"/>
              <w:rPr>
                <w:sz w:val="28"/>
              </w:rPr>
            </w:pPr>
            <w:r>
              <w:rPr/>
              <w:t>ПРАВИТЕЛЬСТВО</w:t>
            </w:r>
            <w:r>
              <w:rPr>
                <w:spacing w:val="-2"/>
              </w:rPr>
              <w:t xml:space="preserve">  </w:t>
            </w:r>
            <w:r>
              <w:rPr/>
              <w:t>ТЮМЕНСКОЙ</w:t>
            </w:r>
            <w:r>
              <w:rPr>
                <w:spacing w:val="-2"/>
              </w:rPr>
              <w:t xml:space="preserve">  </w:t>
            </w:r>
            <w:r>
              <w:rPr/>
              <w:t>ОБЛАСТИ</w:t>
            </w:r>
          </w:p>
        </w:tc>
      </w:tr>
      <w:tr>
        <w:trPr/>
        <w:tc>
          <w:tcPr>
            <w:tcW w:w="9426" w:type="dxa"/>
            <w:tcBorders>
              <w:top w:val="single" w:sz="18" w:space="0" w:color="00000A"/>
              <w:left w:val="single" w:sz="12" w:space="0" w:color="00000A"/>
              <w:bottom w:val="single" w:sz="6" w:space="0" w:color="00000A"/>
              <w:right w:val="single" w:sz="12" w:space="0" w:color="00000A"/>
              <w:insideH w:val="single" w:sz="6" w:space="0" w:color="00000A"/>
              <w:insideV w:val="single" w:sz="12" w:space="0" w:color="00000A"/>
            </w:tcBorders>
            <w:shd w:fill="auto" w:val="clear"/>
            <w:tcMar>
              <w:left w:w="55" w:type="dxa"/>
            </w:tcMar>
          </w:tcPr>
          <w:p>
            <w:pPr>
              <w:pStyle w:val="1"/>
              <w:spacing w:lineRule="auto" w:line="120"/>
              <w:rPr>
                <w:b w:val="false"/>
                <w:b w:val="false"/>
                <w:sz w:val="4"/>
              </w:rPr>
            </w:pPr>
            <w:r>
              <w:rPr>
                <w:b w:val="false"/>
                <w:sz w:val="4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2"/>
        <w:rPr>
          <w:sz w:val="32"/>
        </w:rPr>
      </w:pPr>
      <w:r>
        <w:rPr>
          <w:sz w:val="38"/>
        </w:rPr>
        <w:t>РАСПОРЯЖЕНИЕ</w:t>
      </w:r>
    </w:p>
    <w:p>
      <w:pPr>
        <w:pStyle w:val="Normal"/>
        <w:spacing w:lineRule="auto" w:line="360"/>
        <w:rPr>
          <w:b/>
          <w:b/>
        </w:rPr>
      </w:pPr>
      <w:r>
        <w:rPr>
          <w:b/>
        </w:rPr>
        <w:tab/>
        <w:tab/>
        <w:tab/>
        <w:tab/>
        <w:tab/>
        <w:tab/>
        <w:t xml:space="preserve">    </w:t>
      </w:r>
    </w:p>
    <w:tbl>
      <w:tblPr>
        <w:tblW w:w="9426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622"/>
        <w:gridCol w:w="5528"/>
        <w:gridCol w:w="1276"/>
      </w:tblGrid>
      <w:tr>
        <w:trPr/>
        <w:tc>
          <w:tcPr>
            <w:tcW w:w="2622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06.02.2017г.</w:t>
            </w:r>
          </w:p>
        </w:tc>
        <w:tc>
          <w:tcPr>
            <w:tcW w:w="5528" w:type="dxa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b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  <w:t>90-рп</w:t>
            </w:r>
          </w:p>
        </w:tc>
      </w:tr>
    </w:tbl>
    <w:p>
      <w:pPr>
        <w:pStyle w:val="Normal"/>
        <w:spacing w:lineRule="auto" w:line="480"/>
        <w:jc w:val="center"/>
        <w:rPr>
          <w:rFonts w:ascii="Times New Roman" w:hAnsi="Times New Roman"/>
          <w:sz w:val="26"/>
          <w:lang w:val="en-US"/>
        </w:rPr>
      </w:pPr>
      <w:r>
        <w:rPr>
          <w:rFonts w:ascii="Times New Roman" w:hAnsi="Times New Roman"/>
          <w:sz w:val="20"/>
        </w:rPr>
        <w:t>г. Тюмень</w:t>
      </w:r>
    </w:p>
    <w:tbl>
      <w:tblPr>
        <w:tblW w:w="9710" w:type="dxa"/>
        <w:jc w:val="left"/>
        <w:tblInd w:w="0" w:type="dxa"/>
        <w:tblBorders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464"/>
        <w:gridCol w:w="5245"/>
      </w:tblGrid>
      <w:tr>
        <w:trPr/>
        <w:tc>
          <w:tcPr>
            <w:tcW w:w="4464" w:type="dxa"/>
            <w:tcBorders/>
            <w:shd w:fill="auto" w:val="clear"/>
          </w:tcPr>
          <w:p>
            <w:pPr>
              <w:pStyle w:val="Normal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Об организации детской оздоровительной кампании </w:t>
            </w:r>
          </w:p>
          <w:p>
            <w:pPr>
              <w:pStyle w:val="Normal"/>
              <w:rPr/>
            </w:pPr>
            <w:r>
              <w:rPr>
                <w:i/>
                <w:iCs/>
                <w:sz w:val="26"/>
                <w:szCs w:val="26"/>
              </w:rPr>
              <w:t>в Тюменской области в 2017 году</w:t>
            </w:r>
          </w:p>
        </w:tc>
        <w:tc>
          <w:tcPr>
            <w:tcW w:w="5245" w:type="dxa"/>
            <w:tcBorders/>
            <w:shd w:fill="auto" w:val="clear"/>
          </w:tcPr>
          <w:p>
            <w:pPr>
              <w:pStyle w:val="Normal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jc w:val="both"/>
        <w:rPr>
          <w:sz w:val="26"/>
        </w:rPr>
      </w:pPr>
      <w:r>
        <w:rPr>
          <w:sz w:val="26"/>
        </w:rPr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 целях организации оздоровительной кампании, создания условий для полноценного отдыха, укрепления здоровья, творческого развития и занятости детей и подростков в 2017 году: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 Утвердить: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предельную стоимость путевок, приобретаемых за счет средств областного бюджета, оздоровительные организации по классам, палаточные лагеря согласно приложению № 1 к настоящему распоряжению;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стоимость набора продуктов питания для детей и подростков в оздоровительных лагерях с дневным пребыванием согласно приложению № 2 к настоящему распоряжению. 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2. Областной межведомственной комиссии по организации отдыха, оздоровления населения, занятости несовершеннолетних: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координацию деятельности исполнительных органов государственной власти Тюменской области и их взаимодействия с территориальными органами федеральных органов исполнительной власти, органами местного самоуправления, отраслевыми профсоюзами, оздоровительными и иными организациями и учреждениями, молодежными, детскими и иными общественными объединениями в сфере организации отдыха и оздоровления населения и занятости несовершеннолетних;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мероприятий по подготовке и проведению детской оздоровительной кампании;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созданию безбарьерной среды и условий для отдыха детей и подростков всех групп здоровья;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недопущению перепрофилирования действующих организаций и учреждений отдыха и оздоровления детей и подростков всех организационно-правовых форм и форм собственности;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мониторинга организации отдыха, оздоровления населения и занятости несовершеннолетних по формам согласно приложениям № 3, 4 к настоящему распоряжению, а также мониторинга эффективности реализации мероприятий детской оздоровительной кампании в соответствии с показателями подпрограммы «Организация отдыха, оздоровления и занятости несовершеннолетних в Тюменской области» государственной программы Тюменской области «Развитие отрасли «Социальная политика» до 2020 года.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3. Областной межведомственной комиссии по профилактике правонарушений и предупреждению чрезвычайных ситуаций в местах отдыха детей, по обеспечению безопасности организованных групп детей по маршрутам их следования всеми видами транспорта в Тюменской области:</w:t>
      </w:r>
    </w:p>
    <w:p>
      <w:pPr>
        <w:pStyle w:val="Normal"/>
        <w:tabs>
          <w:tab w:val="left" w:pos="968" w:leader="none"/>
          <w:tab w:val="left" w:pos="1023" w:leader="none"/>
        </w:tabs>
        <w:spacing w:before="0" w:after="120"/>
        <w:ind w:firstLine="567"/>
        <w:jc w:val="both"/>
        <w:rPr>
          <w:sz w:val="26"/>
          <w:szCs w:val="26"/>
        </w:rPr>
      </w:pPr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осуществлять координацию действий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 xml:space="preserve">по предупреждению и ликвидации </w:t>
      </w:r>
      <w:r>
        <w:rPr>
          <w:rFonts w:eastAsia="Calibri" w:cs="Arial"/>
          <w:iCs/>
          <w:spacing w:val="3"/>
          <w:sz w:val="26"/>
          <w:szCs w:val="26"/>
          <w:lang w:eastAsia="en-US"/>
        </w:rPr>
        <w:t xml:space="preserve">чрезвычайных ситуаций и обеспечению пожарной безопасности оздоровительных учреждений и организаций; по </w:t>
      </w:r>
      <w:r>
        <w:rPr>
          <w:rFonts w:eastAsia="Calibri" w:cs="Arial"/>
          <w:iCs/>
          <w:color w:val="000000"/>
          <w:spacing w:val="3"/>
          <w:sz w:val="26"/>
          <w:szCs w:val="26"/>
          <w:lang w:eastAsia="en-US"/>
        </w:rPr>
        <w:t>соблюдению с</w:t>
      </w: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анитарно-эпидемиологических требований к устройству, содержанию и организации режима работы оздоровительных учреждений и организаций; по обеспечению антитеррористической защищенности оздоровительных учреждений и организаций;</w:t>
      </w:r>
    </w:p>
    <w:p>
      <w:pPr>
        <w:pStyle w:val="Style19"/>
        <w:widowControl w:val="false"/>
        <w:tabs>
          <w:tab w:val="left" w:pos="968" w:leader="none"/>
        </w:tabs>
        <w:spacing w:lineRule="auto" w:line="240" w:before="0" w:after="120"/>
        <w:ind w:firstLine="567"/>
        <w:jc w:val="both"/>
        <w:rPr>
          <w:rFonts w:ascii="Arial" w:hAnsi="Arial"/>
          <w:sz w:val="26"/>
          <w:szCs w:val="26"/>
          <w:highlight w:val="yellow"/>
        </w:rPr>
      </w:pPr>
      <w:bookmarkStart w:id="0" w:name="__DdeLink__3669_1289437914"/>
      <w:r>
        <w:rPr>
          <w:rFonts w:cs="Arial" w:ascii="Arial" w:hAnsi="Arial"/>
          <w:bCs/>
          <w:iCs/>
          <w:color w:val="000000"/>
          <w:spacing w:val="3"/>
          <w:sz w:val="26"/>
          <w:szCs w:val="26"/>
        </w:rPr>
        <w:t>осуществлять координацию действий</w:t>
      </w:r>
      <w:bookmarkEnd w:id="0"/>
      <w:r>
        <w:rPr>
          <w:rFonts w:cs="Arial" w:ascii="Arial" w:hAnsi="Arial"/>
          <w:bCs/>
          <w:iCs/>
          <w:color w:val="000000"/>
          <w:spacing w:val="3"/>
          <w:sz w:val="26"/>
          <w:szCs w:val="26"/>
        </w:rPr>
        <w:t xml:space="preserve"> по обеспечению безопасности при организованной перевозке групп детей к местам отдыха и обратно всеми видами транспорта;</w:t>
      </w:r>
    </w:p>
    <w:p>
      <w:pPr>
        <w:pStyle w:val="Normal"/>
        <w:widowControl w:val="false"/>
        <w:tabs>
          <w:tab w:val="left" w:pos="573" w:leader="none"/>
          <w:tab w:val="left" w:pos="968" w:leader="none"/>
        </w:tabs>
        <w:spacing w:before="0"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 по обеспечению безопасности на водных объектах при организации купания в оздоровительных учреждениях и организациях;</w:t>
      </w:r>
    </w:p>
    <w:p>
      <w:pPr>
        <w:pStyle w:val="Normal"/>
        <w:widowControl w:val="false"/>
        <w:tabs>
          <w:tab w:val="left" w:pos="573" w:leader="none"/>
          <w:tab w:val="left" w:pos="968" w:leader="none"/>
        </w:tabs>
        <w:spacing w:before="0" w:after="120"/>
        <w:ind w:right="86" w:firstLine="567"/>
        <w:jc w:val="both"/>
        <w:rPr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ab/>
        <w:t>осуществлять координацию действий по профилактике правонарушений несовершеннолетних в период детской оздоровительной кампании;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eastAsia="Calibri" w:cs="Arial"/>
          <w:bCs/>
          <w:iCs/>
          <w:color w:val="000000"/>
          <w:spacing w:val="3"/>
          <w:sz w:val="26"/>
          <w:szCs w:val="26"/>
          <w:lang w:eastAsia="en-US"/>
        </w:rPr>
        <w:t>осуществлять координацию действий по предупреждению травматизма и несчастных случаев.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4. Департаменту социального развития Тюменской области: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мероприятий подпрограммы «Организация отдыха, оздоровления и занятости несовершеннолетних в Тюменской области» государственной программы Тюменской области «Развитие отрасли «Социальная политика» до 2020 года;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мероприятий государственной программы Тюменской области «Сотрудничество» по организации отдыха и оздоровления детей и подростков Ханты-Мансийского автономного округа – Югры;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целевым использованием бюджетных средств, выделенных на проведение оздоровительной кампании 2017 года;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качеством организации отдыха и оздоровления несовершеннолетних в оздоровительных организациях;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круглогодичного отдыха и оздоровления детей в оздоровительных организациях Тюменской области на условиях софинансирования стоимости путевки из средств областного бюджета и 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 порядке и на условиях, установленных Правительством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отдыха и оздоровления детей в оздоровительных организациях Черноморского района Республики Крым на условиях софинансирования стоимости путевки и проезда к месту отдыха и обратно из средств областного бюджета и средств родителей (законных представителей) </w:t>
      </w:r>
      <w:r>
        <w:rPr>
          <w:rFonts w:cs="Arial"/>
          <w:bCs/>
          <w:color w:val="000000"/>
          <w:sz w:val="26"/>
          <w:szCs w:val="26"/>
        </w:rPr>
        <w:t>в порядке и на условиях, установленных Правительством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>организовать страхование детей на период их пребывания в оздоровительных организациях Тюменской области, Черноморского района Республики Крым и доставки к месту отдыха и обратно;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реализацию комплекса мероприятий по организации отдыха и оздоровления детей, находящихся в трудной жизненной ситуации; </w:t>
      </w:r>
    </w:p>
    <w:p>
      <w:pPr>
        <w:pStyle w:val="Normal"/>
        <w:spacing w:before="0"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планированием муниципальных расходов по организации питания детей в оздоровительных лагерях с дневным пребыванием в соответствии с рекомендациями по формированию местных бюджетов, утвержденных Департаментом финансов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оздоровительных лагерей с дневным пребыванием на базе учреждений социального обслуживания населения для детей, находящихся в трудной жизненной ситуации;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социального обслуживания населения оздоровительные процедуры;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летних реабилитационных смен для несовершеннолетних, склонных к употреблению психоактивных веществ;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учет, паспортизацию и ведение реестра организаций отдыха и </w:t>
      </w:r>
      <w:r>
        <w:rPr>
          <w:rFonts w:cs="Arial"/>
          <w:spacing w:val="-3"/>
          <w:sz w:val="26"/>
          <w:szCs w:val="26"/>
        </w:rPr>
        <w:t>оздоровления детей и подростков Тюменской области с размещением в сети Интернет</w:t>
      </w:r>
      <w:r>
        <w:rPr>
          <w:rFonts w:cs="Arial"/>
          <w:sz w:val="26"/>
          <w:szCs w:val="26"/>
        </w:rPr>
        <w:t xml:space="preserve"> </w:t>
      </w:r>
      <w:r>
        <w:rPr>
          <w:rFonts w:cs="Arial"/>
          <w:bCs/>
          <w:sz w:val="26"/>
          <w:szCs w:val="26"/>
        </w:rPr>
        <w:t>на сайте «Отдых, оздоровление и занятость детей в Тюменской области» (www.leto.admtyumen.ru), созданном на базе Официального портала органов государственной власти Тюменской области</w:t>
      </w:r>
      <w:r>
        <w:rPr>
          <w:rFonts w:cs="Arial"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>осуществлять поддержку работы сайта «Отдых, оздоровление и занятость детей в Тюменской области» (www.leto.admtyumen.ru), созданного на базе Официального портала органов государственной власти Тюменской области</w:t>
      </w:r>
      <w:r>
        <w:rPr>
          <w:rFonts w:cs="Arial"/>
          <w:sz w:val="26"/>
          <w:szCs w:val="26"/>
        </w:rPr>
        <w:t xml:space="preserve">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государственной услуги по обеспечению детей, находящихся в трудной жизненной ситуации, путевками в оздоровительные организации на безвозмездной основе в электронном виде;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электронной записи на прием в уполномоченную организацию для получения путевок в детские оздоровительные организации на условиях софинансирования стоимости путевки за счет областного бюджета и средств родителей (законных представителей);</w:t>
      </w:r>
    </w:p>
    <w:p>
      <w:pPr>
        <w:pStyle w:val="Normal"/>
        <w:spacing w:before="0" w:after="120"/>
        <w:ind w:firstLine="540"/>
        <w:jc w:val="both"/>
        <w:rPr/>
      </w:pPr>
      <w:r>
        <w:rPr>
          <w:rFonts w:cs="Arial"/>
          <w:sz w:val="26"/>
          <w:szCs w:val="26"/>
        </w:rPr>
        <w:t xml:space="preserve">обеспечить организацию и проведение информационной работы по разъяснению населению Тюменской области механизма организации </w:t>
      </w:r>
      <w:r>
        <w:rPr>
          <w:rFonts w:cs="Arial"/>
          <w:bCs/>
          <w:color w:val="000000"/>
          <w:sz w:val="26"/>
          <w:szCs w:val="26"/>
        </w:rPr>
        <w:t xml:space="preserve">отдыха детей в оздоровительных организациях и учреждениях, в том числе в интерактивном режиме посредством телефонных звонков на «горячую линию» 502-619 и </w:t>
      </w:r>
      <w:r>
        <w:rPr>
          <w:rFonts w:cs="Arial"/>
          <w:sz w:val="26"/>
          <w:szCs w:val="26"/>
        </w:rPr>
        <w:t xml:space="preserve">электронной почты </w:t>
      </w:r>
      <w:hyperlink r:id="rId2">
        <w:r>
          <w:rPr>
            <w:rStyle w:val="Style14"/>
            <w:rFonts w:cs="Arial"/>
            <w:color w:val="00000A"/>
            <w:sz w:val="26"/>
            <w:szCs w:val="26"/>
            <w:u w:val="none"/>
            <w:lang w:val="en-US"/>
          </w:rPr>
          <w:t>leto</w:t>
        </w:r>
      </w:hyperlink>
      <w:hyperlink r:id="rId3">
        <w:r>
          <w:rPr>
            <w:rStyle w:val="Style14"/>
            <w:rFonts w:cs="Arial"/>
            <w:color w:val="00000A"/>
            <w:sz w:val="26"/>
            <w:szCs w:val="26"/>
            <w:u w:val="none"/>
          </w:rPr>
          <w:t>@72</w:t>
        </w:r>
      </w:hyperlink>
      <w:hyperlink r:id="rId4">
        <w:r>
          <w:rPr>
            <w:rStyle w:val="Style14"/>
            <w:rFonts w:cs="Arial"/>
            <w:color w:val="00000A"/>
            <w:sz w:val="26"/>
            <w:szCs w:val="26"/>
            <w:u w:val="none"/>
            <w:lang w:val="en-US"/>
          </w:rPr>
          <w:t>to</w:t>
        </w:r>
      </w:hyperlink>
      <w:hyperlink r:id="rId5">
        <w:r>
          <w:rPr>
            <w:rStyle w:val="Style14"/>
            <w:rFonts w:cs="Arial"/>
            <w:color w:val="00000A"/>
            <w:sz w:val="26"/>
            <w:szCs w:val="26"/>
            <w:u w:val="none"/>
          </w:rPr>
          <w:t>.</w:t>
        </w:r>
      </w:hyperlink>
      <w:hyperlink r:id="rId6">
        <w:r>
          <w:rPr>
            <w:rStyle w:val="Style14"/>
            <w:rFonts w:cs="Arial"/>
            <w:color w:val="00000A"/>
            <w:sz w:val="26"/>
            <w:szCs w:val="26"/>
            <w:u w:val="none"/>
            <w:lang w:val="en-US"/>
          </w:rPr>
          <w:t>ru</w:t>
        </w:r>
      </w:hyperlink>
      <w:r>
        <w:rPr>
          <w:rFonts w:cs="Arial"/>
          <w:bCs/>
          <w:color w:val="000000"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доступности услуг отдыха и оздоровления для детей-инвалидов;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консультативно-методическое сопровождение детских оздоровительных организаций по вопросам организации питания детей и соблюдения санитарных норм и правил;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ведение областного реестра организаторов питания в оздоровительных организациях и учреждениях Тюменской области.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5. Департаменту образования и науки Тюменской области: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функционированием сети оздоровительных лагерей с дневным пребыванием на базе общеобразовательных организаций, программным и кадровым обеспечением их деятельности;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общеобразовательных организаций оздоровительные процедуры;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 за пределы региона;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оздоровительных лагерей с дневным пребыванием на базе общеобразовательных организаций</w:t>
      </w:r>
      <w:r>
        <w:rPr>
          <w:rFonts w:cs="Arial"/>
          <w:color w:val="000000"/>
          <w:sz w:val="26"/>
          <w:szCs w:val="26"/>
        </w:rPr>
        <w:t xml:space="preserve">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  <w:r>
        <w:rPr>
          <w:rFonts w:cs="Arial"/>
          <w:sz w:val="26"/>
          <w:szCs w:val="26"/>
        </w:rPr>
        <w:t>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общеобразовательных организаций;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обеспечения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 дневным пребыванием на базе общеобразовательных организаций</w:t>
      </w:r>
      <w:r>
        <w:rPr>
          <w:rFonts w:cs="Arial"/>
          <w:iCs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организовать кадровое и программное обеспечение деятельности оздоровительных лагерей с дневным пребыванием на базе общеобразовательных организаций;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повышение качества воспитательной работы в оздоровительных лагерях с дневным пребыванием на базе общеобразовательных организаций;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деятельностью общеобразовательных организаций по набору учащихся на смены с обучением в оздоровительные организации Тюменской области; </w:t>
      </w:r>
    </w:p>
    <w:p>
      <w:pPr>
        <w:pStyle w:val="Normal"/>
        <w:tabs>
          <w:tab w:val="left" w:pos="142" w:leader="none"/>
          <w:tab w:val="left" w:pos="2910" w:leader="none"/>
        </w:tabs>
        <w:spacing w:before="0"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использование возможностей инфраструктуры образовательных организаций общего, среднего профессионального и высшего образования, реализующих дополнительные общеразвивающие программы различной направленности в период проведения детской оздоровительной кампании;</w:t>
      </w:r>
    </w:p>
    <w:p>
      <w:pPr>
        <w:pStyle w:val="Normal"/>
        <w:tabs>
          <w:tab w:val="left" w:pos="142" w:leader="none"/>
          <w:tab w:val="left" w:pos="2910" w:leader="none"/>
        </w:tabs>
        <w:spacing w:before="0"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продолжить работу по развитию образовательного туризма в общеобразовательных организациях Тюменской области; </w:t>
      </w:r>
    </w:p>
    <w:p>
      <w:pPr>
        <w:pStyle w:val="Normal"/>
        <w:tabs>
          <w:tab w:val="left" w:pos="142" w:leader="none"/>
          <w:tab w:val="left" w:pos="2910" w:leader="none"/>
        </w:tabs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эффективное взаимодействие муниципальных органов управления образования, общеобразовательных организаций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 xml:space="preserve">с молодежными, детскими организациями и иными общественными объединениями по организации отдыха и занятости </w:t>
      </w:r>
      <w:r>
        <w:rPr>
          <w:rFonts w:eastAsia="Calibri" w:cs="Arial"/>
          <w:sz w:val="26"/>
          <w:szCs w:val="26"/>
        </w:rPr>
        <w:t>несовершеннолетних «группы особого внимания», обучающихся в общеобразовательных организациях, профессиональных образовательных организациях</w:t>
      </w:r>
      <w:r>
        <w:rPr>
          <w:rFonts w:cs="Arial"/>
          <w:sz w:val="26"/>
          <w:szCs w:val="26"/>
        </w:rPr>
        <w:t>, а также детей-сирот и детей, оставшихся без попечения родителей.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6. Департаменту по спорту Тюменской области: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организовать проведение спортивных мероприятий для несовершеннолетних, межлагерных и внутрилагерных спортивных мероприятий в период оздоровительной кампании;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подборе и подготовке на договорной основе спортивных работников для оздоровительных организаций из числа тренеров-преподавателей, руководителей секций, кружков спортивных организаций по заявкам и за счет средств организаторов отдыха;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проведение мероприятий по организации досуга несовершеннолетних в клубах, центрах, на площадках по месту жительства в летний период до 21.00;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развитие сети оздоровительных лагерей с дневным пребыванием на базе учреждений спорта, программное и кадровое обеспечение их деятельности;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спорта оздоровительные процедуры;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обеспечить проведение мероприятий на воде в рамках оздоровительных смен подведомственными организациями и учреждениями с обязательным уведомлением </w:t>
      </w:r>
      <w:bookmarkStart w:id="1" w:name="__DdeLink__3872_856198179"/>
      <w:r>
        <w:rPr>
          <w:rFonts w:cs="Arial"/>
          <w:sz w:val="26"/>
          <w:szCs w:val="26"/>
        </w:rPr>
        <w:t>ГУ МЧС России по Тюменской области и освидетельствованием плавательных и спасательных средств в ГИМС ГУ МЧС России по Тюменской области</w:t>
      </w:r>
      <w:bookmarkEnd w:id="1"/>
      <w:r>
        <w:rPr>
          <w:rFonts w:cs="Arial"/>
          <w:sz w:val="26"/>
          <w:szCs w:val="26"/>
        </w:rPr>
        <w:t>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походов и экскурсий, организуемых подведомственными учреждениями;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подведомственных оздоровительных организаций и учреждений системой пожарной автоматики с 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спорта;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равного доступа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 дневным пребыванием на базе учреждений спорта</w:t>
      </w:r>
      <w:r>
        <w:rPr>
          <w:rFonts w:cs="Arial"/>
          <w:iCs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7. Департаменту здравоохранения Тюменской области: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eastAsia="Calibri" w:cs="Arial"/>
          <w:sz w:val="26"/>
          <w:szCs w:val="26"/>
        </w:rPr>
        <w:t>О</w:t>
      </w:r>
      <w:r>
        <w:rPr>
          <w:rFonts w:eastAsia="Calibri" w:cs="Arial"/>
          <w:color w:val="00000A"/>
          <w:sz w:val="26"/>
          <w:szCs w:val="26"/>
        </w:rPr>
        <w:t xml:space="preserve">беспечить своевременное и качественное </w:t>
      </w:r>
      <w:r>
        <w:rPr>
          <w:rFonts w:eastAsia="Calibri" w:cs="Arial"/>
          <w:sz w:val="26"/>
          <w:szCs w:val="26"/>
        </w:rPr>
        <w:t xml:space="preserve">проведение медицинских осмотров работников, направляемых на работу в оздоровительные учреждения в соответствии с требованиями приказа Минздравсоцразвития РФ от 12.04.2011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а также </w:t>
      </w:r>
      <w:r>
        <w:rPr>
          <w:rFonts w:eastAsia="Calibri" w:cs="Arial"/>
          <w:color w:val="00000A"/>
          <w:sz w:val="26"/>
          <w:szCs w:val="26"/>
        </w:rPr>
        <w:t>детей, отъезжающих в оздоровительные организации всех типов, а также прохождение в подведомственных медицинских организациях профилактических осмотров работников оздоровительных организаций в рамках территориальной программы государственных гарантий оказания бесплатной медицинской помощи в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ввести персональную ответственность должностных лиц лечебно-профилактических учреждений за непроведение, либо некачественное проведение осмотров детей, выбывающих на отдых;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комиссионного профилактического медицинского осмотра, выбывающих в здравницы за пределы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оказание скорой медицинской помощи и первичной медико-санитарной помощи отдыхающим в оздоровительных организациях и учреждениях всех типов;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руководителям оздоровительных организаций в подборе квалифицированного медицинского персонала (врачи-педиатры, средний медицинский персонал и др.), осуществлению его подготовки для работы в условиях оздоровительных организаций;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организациям в формировании заявки на лекарственные препараты, медицинское оборудование за счет организаторов отдыха;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созданием безопасных условий пребывания детей в оздоровительных организациях, организацией питания, физическим воспитанием и закаливанием детей в оздоровительных организациях и учреждениях;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оказывать содействие оздоровительным лагерям с дневным пребыванием детей в проведении профилактических оздоровительных процедур;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медицинскими работниками оздоровительных организаций оценки эффективности оздоровления детей в летних оздоровительных организациях по итогам каждой смены и доведение этой информации не позднее 3 дней после окончания смены до сведения территориальных межведомственных комиссий по организации отдыха, оздоровления и занятости несовершеннолетних и Управления Роспотребнадзора по Тюменской области и его территориальных отделов;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систематическое обучение медицинских работников, осуществляющих медицинское обеспечение в период летней оздоровительной кампании, проведение семинаров совместно со специалистами Управления Роспотребнадзора по Тюменской области и его территориальных отделов до начала первой летней смены;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своевременную подачу экстренных извещений в территориальные отделы Управления Роспотребнадзора по Тюменской области и проведение противоэпидемических мероприятий в случае выявления инфекционных заболеваний;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готовность госпитальных баз лечебно-профилактических учреждений к приему больных в условиях эпидемиологического неблагополучия;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финансирование мероприятий по проведению энтомологических обследований территорий оздоровительных организаций и контролю качества специальных обработок от клещей за счет средств областного бюджета;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наличие противоклещевого иммуноглобулина в подведомственных медицинских организациях для проведения специфической профилактики в наикратчайшие сроки в случае присасывания клещей;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реализацию мер по повышению качества и доступности реабилитационных и санаторно-курортных услуг для детей-инвалидов в подведомственных медицинских организациях.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8. Департаменту труда и занятости населения Тюменской области: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активной политики занятости несовершеннолетних граждан в возрасте от 14 до 18 лет на предприятиях и организациях различных форм собственности, уделив особое внимание организации занятости подростков, состоящих на учете в банке данных несовершеннолетних и семей «группы особого внимания»;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обучение работодателей по порядку создания временных рабочих мест для трудоустройства несовершеннолетних, подготовить соответствующие методические документы; 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ведение информационной базы предприятий и организаций всех форм собственности, предоставляющих временные рабочие места для трудоустройства несовершеннолетних;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осуществление выплаты материальной поддержки при временном трудоустройстве несовершеннолетних в свободное от учебы время;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привлечение предприятий и организаций различных форм собственности к созданию временных рабочих мест для трудоустройства несовершеннолетних;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мониторинг организации трудоустройства несовершеннолетних граждан</w:t>
      </w:r>
      <w:r>
        <w:rPr>
          <w:rFonts w:cs="Arial"/>
          <w:color w:val="FF0000"/>
          <w:sz w:val="26"/>
          <w:szCs w:val="26"/>
        </w:rPr>
        <w:t>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9. Комиссии по делам несовершеннолетних и защите их прав при Губернаторе Тюменской области: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координировать организацию индивидуально-профилактической работы с несовершеннолетними «группы особого внимания» в период оздоровительной кампании;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со стороны территориальных комиссий по делам несовершеннолетних и защите их прав за работой наставников с подростками «группы особого внимания» и охватом их востребованными формами отдыха и занятости.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10. Департаменту</w:t>
      </w:r>
      <w:bookmarkStart w:id="2" w:name="__DdeLink__3179_666939326"/>
      <w:r>
        <w:rPr>
          <w:rFonts w:cs="Arial"/>
          <w:sz w:val="26"/>
          <w:szCs w:val="26"/>
        </w:rPr>
        <w:t xml:space="preserve"> по общественным связям, коммуникациям и молодежной политике </w:t>
      </w:r>
      <w:bookmarkEnd w:id="2"/>
      <w:r>
        <w:rPr>
          <w:rFonts w:cs="Arial"/>
          <w:sz w:val="26"/>
          <w:szCs w:val="26"/>
        </w:rPr>
        <w:t>Тюменской области: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информационное сопровождение программ и мероприятий детской оздоровительной кампании;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координацию деятельности по развитию движения студенческих трудовых отрядов в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развитие сети оздоровительных лагерей с дневным пребыванием на базе учреждений молодежной политики, программное и кадровое обеспечение их деятельности;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молодежной политики оздоровительные процедуры;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подготовке и аттестации педагогических кадров для работы с детьми и молодежью на площадках по месту жительства;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мероприятий по организации досуга несовершеннолетних в клубах, центрах, на площадках по месту жительства в летний период до 21.00;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проведение мероприятий на воде в рамках оздоровительных смен подведомственными организациями с обязательным уведомлением </w:t>
      </w:r>
      <w:bookmarkStart w:id="3" w:name="__DdeLink__3872_8561981791"/>
      <w:r>
        <w:rPr>
          <w:rFonts w:cs="Arial"/>
          <w:sz w:val="26"/>
          <w:szCs w:val="26"/>
        </w:rPr>
        <w:t>ГУ МЧС России по Тюменской области и освидетельствованием плавательных и спасательных средств в ГИМС ГУ МЧС России по Тюменской области</w:t>
      </w:r>
      <w:bookmarkEnd w:id="3"/>
      <w:r>
        <w:rPr>
          <w:rFonts w:cs="Arial"/>
          <w:sz w:val="26"/>
          <w:szCs w:val="26"/>
        </w:rPr>
        <w:t>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походов и экскурсий, организуемых подведомственными учреждениями;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координацию деятельности региональной маршрутно-квалификационной комиссии, созданной ГАУ ДО ТО «Дворец творчества и спорта «Пионер»;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оборудованием оздоровительных лагерей с дневным пребыванием на базе учреждений молодежной политики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софинансирование оплаты стоимости питания из средств родителей в оздоровительных лагерях с дневным пребыванием на базе учреждений молодежной политики;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</w:t>
      </w:r>
      <w:r>
        <w:rPr>
          <w:rFonts w:cs="Arial"/>
          <w:iCs/>
          <w:sz w:val="26"/>
          <w:szCs w:val="26"/>
        </w:rPr>
        <w:t xml:space="preserve"> создание условий для обеспечения детям-инвалидам равного доступа к услугам, предоставляемым в </w:t>
      </w:r>
      <w:r>
        <w:rPr>
          <w:rFonts w:cs="Arial"/>
          <w:sz w:val="26"/>
          <w:szCs w:val="26"/>
        </w:rPr>
        <w:t>оздоровительных лагерях с дневным пребыванием на базе учреждений молодежной политики</w:t>
      </w:r>
      <w:r>
        <w:rPr>
          <w:rFonts w:cs="Arial"/>
          <w:iCs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контроль за работой оборонно-спортивных лагерей;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оказать содействие в развитии активных форм самодеятельного, спортивно-оздоровительного детско-юношеского и молодежного туризма, обеспечить методическое сопровождение организации и проведения походов, экспедиций на территории Тюменской области.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11. Департаменту культуры Тюменской области:</w:t>
      </w:r>
    </w:p>
    <w:p>
      <w:pPr>
        <w:pStyle w:val="Normal"/>
        <w:spacing w:before="0"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и проведение социально-культурных мероприятий, направленных на оздоровление населения и занятости несовершеннолетних в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функционирование сети оздоровительных лагерей с дневным пребыванием на базе учреждений культуры, программное и кадровое обеспечение их деятельности;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рекомендовать включить в программы смен оздоровительных лагерей с дневным пребыванием на базе учреждений культуры оздоровительные процедуры;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проведением выездов организованных групп детей, в том числе за проведением экскурсий, организуемых подведомственными учреждениями;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оборудованием оздоровительных лагерей с дневным пребыванием на базе учреждений культуры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 пожарно-спасательными подразделениями; за наличием и исправностью первичных средств пожаротушения, включая проверку огнетушителей, своевременность их перезарядки;</w:t>
      </w:r>
    </w:p>
    <w:p>
      <w:pPr>
        <w:pStyle w:val="Normal"/>
        <w:spacing w:before="0"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укомплектование оздоровительных организаций аккомпаниаторами, концертмейстерами, культорганизаторами из числа работников, учащихся и студентов организаций культуры согласно заявкам организаторов отдыха.</w:t>
      </w:r>
    </w:p>
    <w:p>
      <w:pPr>
        <w:pStyle w:val="Normal"/>
        <w:tabs>
          <w:tab w:val="left" w:pos="540" w:leader="none"/>
          <w:tab w:val="left" w:pos="720" w:leader="none"/>
        </w:tabs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12. Рекомендовать Управлению МВД России по Тюменской области:</w:t>
      </w:r>
    </w:p>
    <w:p>
      <w:pPr>
        <w:pStyle w:val="Normal"/>
        <w:tabs>
          <w:tab w:val="left" w:pos="540" w:leader="none"/>
          <w:tab w:val="left" w:pos="720" w:leader="none"/>
        </w:tabs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проверок технического состояния автотранспортных средств, задействованных для перевозки отдыхающих, инструктажей водительского состава о соблюдении правил дорожного движения и повышенном внимании на маршрутах движения;</w:t>
      </w:r>
    </w:p>
    <w:p>
      <w:pPr>
        <w:pStyle w:val="Normal"/>
        <w:tabs>
          <w:tab w:val="left" w:pos="540" w:leader="none"/>
          <w:tab w:val="left" w:pos="720" w:leader="none"/>
        </w:tabs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без взимания платы сопровождение организованных групп детей к местам отдыха и обратно по заранее представленным заявкам;</w:t>
      </w:r>
    </w:p>
    <w:p>
      <w:pPr>
        <w:pStyle w:val="Normal"/>
        <w:tabs>
          <w:tab w:val="left" w:pos="540" w:leader="none"/>
          <w:tab w:val="left" w:pos="720" w:leader="none"/>
        </w:tabs>
        <w:spacing w:before="0" w:after="120"/>
        <w:ind w:firstLine="540"/>
        <w:jc w:val="both"/>
        <w:rPr>
          <w:strike/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организовать охрану общественного порядка и обеспечить общественную безопасность в детских оздоровительных организациях и учреждениях Тюменской области в летний период;</w:t>
      </w:r>
    </w:p>
    <w:p>
      <w:pPr>
        <w:pStyle w:val="Normal"/>
        <w:tabs>
          <w:tab w:val="left" w:pos="540" w:leader="none"/>
          <w:tab w:val="left" w:pos="720" w:leader="none"/>
        </w:tabs>
        <w:spacing w:before="0" w:after="120"/>
        <w:ind w:firstLine="539"/>
        <w:jc w:val="both"/>
        <w:rPr>
          <w:b/>
          <w:b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патрулирование </w:t>
      </w:r>
      <w:r>
        <w:rPr>
          <w:rStyle w:val="Style15"/>
          <w:rFonts w:cs="Arial"/>
          <w:b w:val="false"/>
          <w:color w:val="000000"/>
          <w:spacing w:val="7"/>
          <w:sz w:val="26"/>
          <w:szCs w:val="26"/>
        </w:rPr>
        <w:t>в местах отдыха населения, расположенных вблизи водных объектов, в том числе на местах, запрещенных для купания;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профилактические меры по предупреждению правонарушений несовершеннолетних, детского дорожно-транспортного травматизма, созданию условий для безопасного пребывания граждан в местах отдыха и оздоровления;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предварительное изучение охвата летней занятостью несовершеннолетних, состоящих на учете в органах внутренних дел, направление предложений в учреждения системы профилактики по организации летней занятости и отдыха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разъяснительной работы среди несовершеннолетних, отдыхающих в загородных оздоровительных организациях и учреждениях различных типов, подростковых клубах, направленной на предупреждение правонарушений, совершаемых несовершеннолетними и в отношении 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в летний период контрольно-профилактических мероприятий с несовершеннолетними «группы особого внимания», несовершеннолетними, освободившимися из мест лишения свободы, несовершеннолетними, состоящими на учете в подразделениях по делам несовершеннолетних.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13. Рекомендовать Управлению Федеральной службы по надзору в сфере защиты прав потребителей и благополучия человека по Тюменской области: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ежедневный мониторинг организованных выездов детей;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согласование с принимающей стороной соблюдения требований безопасности проживания и питания групп детей;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контрольно-надзорные мероприятия по соблюдению требований санитарного законодательства в оздоровительных организациях всех типов, выполнению мероприятий по профилактике массовых инфекционных и неинфекционных заболеваний (отравлений); </w:t>
      </w:r>
    </w:p>
    <w:p>
      <w:pPr>
        <w:pStyle w:val="Normal"/>
        <w:spacing w:before="0" w:after="120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 специалистов Управления Роспотребнадзора по Тюменской области и его территориальных отделов в семинарах по подготовке сотрудников детских оздоровительных организаций и учреждений, работников пищеблока, организаторов питания, поставщиков продовольственного сырья и пищевых продуктов;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14. Рекомендовать Федеральному бюджетному учреждению здравоохранения «Центр гигиены и эпидемиологии в Тюменской области»: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лабораторно-инструментального контроля в период работы оздоровительных организаций согласно программам производственного контроля в соответствии с действующими нормативными документами;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противоклещевой обработки и мероприятий по борьбе с грызунами в местах отдыха детей;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гигиенического обучения и аттестации персонала, направляемого для работы в оздоровительные организации в соответствии с действующими нормативными документами;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двукратного энтомологического контроля качества противоклещевых обработок территории оздоровительных организаций;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мероприятий против гнуса и комара; дератизационных, дезинфекционных и дезинсекционных мероприятий открытых территорий, жилых корпусов, пищеблоков, мест общего пользования загородных учреждений за 7 дней до заезда и в течение всего сезона пребывания детей в целях профилактики острых кишечных инфекций и прочих инфекционных заболеваний проведение.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15. Рекомендовать Главному управлению МЧС России по Тюменской области:</w:t>
      </w:r>
    </w:p>
    <w:p>
      <w:pPr>
        <w:pStyle w:val="Normal"/>
        <w:spacing w:before="0"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организационно-методическую, профилактическую работу на объектах, задействованных в организации летнего отдыха, занятости детей и подростков, как в период подготовки к оздоровительной кампании, так и ежесменно в период ее проведения;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осуществлять контроль за противопожарным состоянием объектов, задействованных в детской оздоровительной кампании, а также безопасных условий в местах отдыха на воде;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обеспечить своевременное техническое освидетельствование водных объектов, принадлежащих оздоровительным организациям;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освидетельствование плавательных и спасательных средств, используемых оздоровительными организациями и учреждениями;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контроль за выполнением требований пожарной безопасности в части оборудования объектов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за исправным состоянием противопожарных водоисточников и подъездных путей к ним, а также пирсов для установки пожарных автомобилей (при наличии); за наличием и соответствием нормативным требованиям защитных минерализованных полос, имеющих общую границу с лесными участками; за проверкой наличия и исправностью первичных средств пожаротушения, включая проверку огнетушителей, своевременность их перезарядки;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осуществлять обучение и аттестацию спасателей ведомственных постов для работы в оздоровительных организациях и учреждениях;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проведение с туристическими группами с участием детей дополнительных занятий по соблюдению мер безопасности при экстремальных видах отдыха (альпинизм, спелеология, водные прогулки, полоса препятствий, рафтинг, дайвинг, водные и горные лыжи и т. д.);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организовать информирование туристических групп с участием детей о фактической метеорологической обстановке на территории муниципальных образований по маршруту следования, предоставлять рекомендации по обеспечению безопасности.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16. Рекомендовать Территориальному фонду обязательного медицинского страхования Тюменской области осуществлять в течение года возмещение расходов медицинским организациям, проводящим профилактические осмотры детей и подростков, отъезжающих в оздоровительные организации всех типов, а также работников оздоровительных организаций, в рамках реализации территориальной программы обязательного медицинского страхования.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17. Рекомендовать Территориальному органу Росздравнадзора по Тюменской области, ХМАО – Югре и ЯНАО осуществлять контрольно-надзорные мероприятия за соблюдением законодательства в вопросах обеспечения качества и безопасности оказания медицинской и лекарственной помощи несовершеннолетним в оздоровительных организациях.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18. Рекомендовать Государственной инспекции труда в Тюменской области: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работников в возрасте до восемнадцати лет, в том числе в части ограничения и запрещения применения их труда на тяжелых работах и работах с вредными и (или) опасными условиями труда, с принятием по результатам мероприятий исчерпывающих мер по устранению правонарушений и привлечению виновных лиц к установленной законом ответственности;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в детских оздоровительных организациях в части содержания территорий, зданий и сооружений, оборудования, организации обучения, проведения аттестации рабочих мест, медицинских осмотров, обеспечения средствами коллективной и индивидуальной защиты;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контрольно-надзорные мероприятия за соблюдением требований законодательства о труде и охране труда несовершеннолетних при обращении в инспекцию труда с заявлением о нарушении прав подростков со стороны работодателей.</w:t>
      </w:r>
    </w:p>
    <w:p>
      <w:pPr>
        <w:pStyle w:val="Normal"/>
        <w:tabs>
          <w:tab w:val="left" w:pos="180" w:leader="none"/>
          <w:tab w:val="left" w:pos="360" w:leader="none"/>
          <w:tab w:val="left" w:pos="900" w:leader="none"/>
          <w:tab w:val="left" w:pos="1260" w:leader="none"/>
        </w:tabs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19. Рекомендовать главам администраций муниципальных районов (городских округов) в пределах их компетенции с участием профсоюзных, молодежных, детских и иных общественных объединений: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принять соответствующие правовые акты по организации отдыха, оздоровления и занятости несовершеннолетних в 2017 году;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эффективную деятельность территориальных межведомственных комиссий по организации отдыха, оздоровления населения и занятости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максимальный охват организованными формами отдыха, оздоровления и занятости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 приоритетном порядке организацию отдыха, оздоровления и занятости несовершеннолетних, находящихся в трудной жизненной ситуации;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взять на контроль недопущение открытия общественными объединениями и религиозными организациями детских лагерей, </w:t>
      </w:r>
      <w:r>
        <w:rPr>
          <w:sz w:val="26"/>
        </w:rPr>
        <w:t>не вошедших</w:t>
      </w:r>
      <w:r>
        <w:rPr>
          <w:rFonts w:cs="Arial"/>
          <w:sz w:val="26"/>
          <w:szCs w:val="26"/>
        </w:rPr>
        <w:t xml:space="preserve"> в муниципальный реестр оздоровительных лагерей и центров;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усилить контроль за соблюдением требований по организации походов и экспедиций в соответствии с действующими санитарно-эпидемиологическими и противопожарными правилами и требованиями, уделив особое внимание вопросам организации питания, проживания, обеспечения безопасности детей и молодежи;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своевременное уведомление организаторами отдыха и оздоровления ГУ МЧС России по Тюменской области о мероприятиях, проводимых на воде, и освидетельствование плавательных и спасательных средств в ГИМС ГУ МЧС России по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санитарно-эпидемиологических требований при организации отдыха, оздоровления и занятости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проведение противоклещевой обработки территорий, где организуется отдых и занятость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действенные меры по организации полноценного питания в детских оздоровительных организациях и учреждениях различных типов, подготовке и подбору квалифицированного персонала на пищеблоки;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финансирование расходов на оплату стоимости питания детей, в том числе детей, находящихся в трудной жизненной ситуации, в оздоровительных лагерях с дневным пребыванием;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качественный подбор поставщиков продовольственного сырья и пищевых продуктов, организаторов питания в детских оздоровительных организациях и учреждениях различных типов;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соблюдением требований пожарной безопасности в оздоровительных организациях и учреждениях;</w:t>
      </w:r>
    </w:p>
    <w:p>
      <w:pPr>
        <w:pStyle w:val="Normal"/>
        <w:spacing w:before="0" w:after="120"/>
        <w:ind w:firstLine="540"/>
        <w:jc w:val="both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обеспечить контроль за оборудованием объектов детского отдыха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обеспечить контроль за наличием и соответствием нормативным требованиям защитных минерализованных полос в детских оздоровительных организациях, имеющих общую границу с лесными участками;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комплекса профилактических мер по предупреждению правонарушений несовершеннолетних, детского дорожно-транспортного травматизма, созданию условий для безопасного пребывания детей и подростков в местах отдыха и оздоровления, в том числе на водоемах, используемых в рекреационных целях;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доставку организованных групп детей к местам отдыха и обратно с соблюдением требований безопасности, обязательным медицинским сопровождением с учетом фактической метеорологической обстановки по маршруту следования;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>взять на контроль своевременное информирование органов УМВД России по Тюменской области об осуществлении перевозок организованных групп детей к местам отдыха и обратно;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осуществлять </w:t>
      </w:r>
      <w:bookmarkStart w:id="4" w:name="__DdeLink__2995_1487673681"/>
      <w:r>
        <w:rPr>
          <w:rFonts w:cs="Arial"/>
          <w:sz w:val="26"/>
          <w:szCs w:val="26"/>
        </w:rPr>
        <w:t>перевозку организованных групп детей к местам отдыха и обратно</w:t>
      </w:r>
      <w:bookmarkEnd w:id="4"/>
      <w:r>
        <w:rPr>
          <w:rFonts w:cs="Arial"/>
          <w:sz w:val="26"/>
          <w:szCs w:val="26"/>
        </w:rPr>
        <w:t xml:space="preserve"> железнодорожным транспортом при наличии железнодорожного сообщения; при отсутствии железнодорожного сообщения перевозку организованных групп детей к местам отдыха и обратно осуществлять автотранспортом в светлое время суток в соответствии с утвержденными требованиями;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за 3 суток до отправки организованных детских коллективов направление информации в территориальные органы Роспотребнадзора об их численности, виде транспорта, используемого для перевозки, подтверждения обязательного медицинского сопровождения;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полноценного горячего питания групп детей в вагонах-ресторанах пассажирских поездов, судов водного транспорта при нахождении в пути свыше 1 суток;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организацию питания групп детей пищевыми продуктами («сухими пайками») при перевозке на всех видах транспорта в соответствии с требованиями санитарных правил; 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ведение информационной базы предприятий и организаций, предоставляющих временные рабочие места для трудоустройства несовершеннолетних; 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предприятия и организации, в том числе внебюджетной сферы, а также предприятия и организации, получающие государственную поддержку, к созданию временных рабочих мест для трудоустройства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персонифицированный учет несовершеннолетних граждан, осуществляющих трудовую деятельность без обращения в органы службы занятости населения; </w:t>
      </w:r>
    </w:p>
    <w:p>
      <w:pPr>
        <w:pStyle w:val="Normal"/>
        <w:spacing w:before="0" w:after="120"/>
        <w:ind w:firstLine="540"/>
        <w:jc w:val="both"/>
        <w:rPr>
          <w:rFonts w:cs="Arial"/>
          <w:bCs/>
          <w:sz w:val="26"/>
          <w:szCs w:val="26"/>
        </w:rPr>
      </w:pPr>
      <w:r>
        <w:rPr>
          <w:rFonts w:eastAsia="Calibri" w:cs="Arial"/>
          <w:bCs/>
          <w:sz w:val="26"/>
          <w:szCs w:val="26"/>
        </w:rPr>
        <w:t>осуществлять мониторинг трудоустройства несовершеннолетних, осуществляющих трудовую деятельность без обращения в органы службы занятости населения;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 рассмотрении вопроса об оказании финансовой поддержки предприятиям и организациям внебюджетной сферы из средств муниципального бюджета учитывать их участие в создании временных рабочих мест для трудоустройства несовершеннолетних;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при создании временных рабочих мест продолжительность рабочего периода для несовершеннолетних не менее двух недель;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недопущению перепрофилирования действующих детских оздоровительных организаций и учреждений всех организационно-правовых форм и форм собственности;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максимальный охват трудовой и досуговой занятостью подростков «группы особого внимания»;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оплату труда работников в возрасте до 18 лет в соответствии с Трудовым кодексом Российской Федерации;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организации (предприятия) к участию в обеспечении детей работников путевками в оздоровительные организации и осуществлению выплаты компенсации за путевки.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20. Рекомендовать территориальным межведомственным комиссиям по организации отдыха, оздоровления населения, занятости несовершеннолетних муниципальных районов (городских округов):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определить приоритетные направления подготовки и проведения детской оздоровительной кампании 2017 года с учетом анализа итогов оздоровительной кампании детей 2016 года; </w:t>
      </w:r>
    </w:p>
    <w:p>
      <w:pPr>
        <w:pStyle w:val="Normal"/>
        <w:spacing w:before="0" w:after="120"/>
        <w:ind w:firstLine="567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комплекс профилактических мероприятий, обеспечивающих санитарно-эпидемиологическое благополучие в детских оздоровительных организациях и учреждениях, расположенных на территории муниципального образования (городского округа);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питания в оздоровительных лагерях с дневным пребыванием на условиях софинансирования за счет бюджетных средств, предусмотренных в общем объеме межбюджетных расходов и средств родителей;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соблюдение условия софинансирования расходов на оплату услуги по питанию в оздоровительных лагерях с дневным пребыванием за счет родительских средств в размере 50% в соответствии с методическими рекомендациями по формированию местных бюджетов, утвержденными Департаментом финансов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питания детей, находящихся в трудной жизненной ситуации, в оздоровительных лагерях с дневным пребыванием на безвозмездной основе за счет средств муниципального бюджета;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продолжить работу по информированию населения о механизме софинансирования оплаты стоимости питания в оздоровительных лагерях с дневным пребыванием на территории муниципального образования (городского округа); 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систематического обучения сотрудников учреждений спорта, культуры и молодежной политики, общественных организаций, осуществляющих перевозки групп детей по соблюдению мер безопасности детей, о мерах персональной ответственности, а также о недопустимости несогласованных выездов;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  <w:highlight w:val="yellow"/>
        </w:rPr>
      </w:pPr>
      <w:r>
        <w:rPr>
          <w:rFonts w:cs="Arial"/>
          <w:sz w:val="26"/>
          <w:szCs w:val="26"/>
        </w:rPr>
        <w:t xml:space="preserve">обеспечить контроль за проведением выездов организованных групп детей, в том числе за проведением походов и экскурсий;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соблюдением требований общей безопасности при организации и проведении походов и экспедиций, уделив особое внимание вопросам организации питания и проживания;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информирование органов ГУ МЧС России по Тюменской области о проведении походов и экспедиций, мероприятий на воде с целью обеспечения своевременного реагирования при возникновении нештатных (чрезвычайных) ситуаций при прохождении маршрутов туристическими группами;</w:t>
      </w:r>
    </w:p>
    <w:p>
      <w:pPr>
        <w:pStyle w:val="Style19"/>
        <w:spacing w:lineRule="auto" w:line="240" w:before="0" w:after="120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>обеспечить обязательное информирование органов УМВД России по Тюменской области о перевозках организованных групп детей к местам отдыха и обратно;</w:t>
      </w:r>
    </w:p>
    <w:p>
      <w:pPr>
        <w:pStyle w:val="Style19"/>
        <w:spacing w:lineRule="auto" w:line="240" w:before="0" w:after="120"/>
        <w:ind w:firstLine="540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eastAsia="Times New Roman" w:cs="Arial" w:ascii="Arial" w:hAnsi="Arial"/>
          <w:sz w:val="26"/>
          <w:szCs w:val="26"/>
          <w:lang w:eastAsia="ru-RU"/>
        </w:rPr>
        <w:t>обеспечить обязательную регистрацию категорийных походов в региональной маршрутно-квалификационной комиссии;</w:t>
      </w:r>
    </w:p>
    <w:p>
      <w:pPr>
        <w:pStyle w:val="Style19"/>
        <w:spacing w:lineRule="auto" w:line="240" w:before="0" w:after="120"/>
        <w:ind w:firstLine="567"/>
        <w:jc w:val="both"/>
        <w:rPr>
          <w:rFonts w:ascii="Arial" w:hAnsi="Arial"/>
          <w:sz w:val="26"/>
          <w:szCs w:val="26"/>
          <w:highlight w:val="yellow"/>
        </w:rPr>
      </w:pPr>
      <w:r>
        <w:rPr>
          <w:rFonts w:eastAsia="Calibri" w:cs="" w:ascii="Arial" w:hAnsi="Arial" w:cstheme="minorBidi" w:eastAsiaTheme="minorHAnsi"/>
          <w:sz w:val="26"/>
          <w:szCs w:val="26"/>
        </w:rPr>
        <w:t xml:space="preserve">обеспечить обязательное информирование региональной маршрутно-квалификационной комиссии о проведении некатегорийных походов, путешествий, экспедиций через сайт </w:t>
      </w:r>
      <w:r>
        <w:rPr>
          <w:rFonts w:eastAsia="Calibri" w:cs="" w:ascii="Arial" w:hAnsi="Arial" w:cstheme="minorBidi" w:eastAsiaTheme="minorHAnsi"/>
          <w:sz w:val="26"/>
          <w:szCs w:val="26"/>
          <w:lang w:val="en-US"/>
        </w:rPr>
        <w:t>tropa</w:t>
      </w:r>
      <w:r>
        <w:rPr>
          <w:rFonts w:eastAsia="Calibri" w:cs="" w:ascii="Arial" w:hAnsi="Arial" w:cstheme="minorBidi" w:eastAsiaTheme="minorHAnsi"/>
          <w:sz w:val="26"/>
          <w:szCs w:val="26"/>
        </w:rPr>
        <w:t>72.</w:t>
      </w:r>
      <w:r>
        <w:rPr>
          <w:rFonts w:eastAsia="Calibri" w:cs="" w:ascii="Arial" w:hAnsi="Arial" w:cstheme="minorBidi" w:eastAsiaTheme="minorHAnsi"/>
          <w:sz w:val="26"/>
          <w:szCs w:val="26"/>
          <w:lang w:val="en-US"/>
        </w:rPr>
        <w:t>ru</w:t>
      </w:r>
      <w:r>
        <w:rPr>
          <w:rFonts w:eastAsia="Calibri" w:cs="" w:ascii="Arial" w:hAnsi="Arial" w:cstheme="minorBidi" w:eastAsiaTheme="minorHAnsi"/>
          <w:sz w:val="26"/>
          <w:szCs w:val="26"/>
        </w:rPr>
        <w:t>;</w:t>
      </w:r>
    </w:p>
    <w:p>
      <w:pPr>
        <w:pStyle w:val="Style19"/>
        <w:spacing w:lineRule="auto" w:line="240" w:before="0" w:after="120"/>
        <w:ind w:firstLine="567"/>
        <w:jc w:val="both"/>
        <w:rPr>
          <w:rFonts w:ascii="Arial" w:hAnsi="Arial"/>
          <w:sz w:val="26"/>
          <w:szCs w:val="26"/>
        </w:rPr>
      </w:pPr>
      <w:r>
        <w:rPr>
          <w:rFonts w:eastAsia="Calibri" w:cs="" w:ascii="Arial" w:hAnsi="Arial" w:cstheme="minorBidi" w:eastAsiaTheme="minorHAnsi"/>
          <w:sz w:val="26"/>
          <w:szCs w:val="26"/>
          <w:lang w:eastAsia="ru-RU"/>
        </w:rPr>
        <w:t xml:space="preserve">обеспечить контроль за допуском и возвращением групп несовершеннолетних, участвующих в походах, путешествиях, экспедициях; </w:t>
      </w:r>
    </w:p>
    <w:p>
      <w:pPr>
        <w:pStyle w:val="Normal"/>
        <w:spacing w:before="0" w:after="120"/>
        <w:ind w:firstLine="567"/>
        <w:jc w:val="both"/>
        <w:rPr>
          <w:sz w:val="26"/>
          <w:szCs w:val="26"/>
        </w:rPr>
      </w:pPr>
      <w:bookmarkStart w:id="5" w:name="__DdeLink__3792_2092067360"/>
      <w:r>
        <w:rPr>
          <w:rFonts w:cs="Arial"/>
          <w:sz w:val="26"/>
          <w:szCs w:val="26"/>
        </w:rPr>
        <w:t>усилить контроль за соблюдением требований комплексной безопасности пребывания детей в оздоровительных организациях во время проведения походов и экспедиций, мероприятий на спортивных и досуговых площадках, проведения инструктажей со всеми организаторами отдыха о 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</w:t>
      </w:r>
      <w:bookmarkEnd w:id="5"/>
      <w:r>
        <w:rPr>
          <w:rFonts w:cs="Arial"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соблюдение требований комплексной безопасности пребывания детей в организациях отдыха и оздоровления во время проведения походов и экспедиций, мероприятий на спортивных и досуговых площадках, проведение инструктажей со всеми организаторами отдыха о персональной ответственности за выполнение своих должностных обязанностей и недопустимости проведения незапланированных мероприятий без соответствующего согласования;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разработать план мероприятий по предупреждению несчастных случаев на воде с детьми; предусмотреть привлечение общественных объединений в реализации плана мероприятий; усилить информационную работу с родителями и несовершеннолетними;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качеством продовольственного сырья и пищевых продуктов, поставляемых в оздоровительные организации;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исчерпывающие меры по обеспечению соблюдений условий хранения продовольственного сырья и пищевых продуктов в летний период, учитывая сезонное повышение температуры;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исправность и достаточность технологического и холодильного оборудования, санитарно-техническое благоустройство территорий помещений, достаточность инвентаря и оборудования в основных помещениях оздоровительных организаций;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принять меры к сохранению сети оздоровительных организаций и учреждений, расположенных на территории муниципального района (городского округа), их эффективному использованию и укреплению материально-технической базы;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контроль за паспортизацией и ведением реестра организаций отдыха и </w:t>
      </w:r>
      <w:r>
        <w:rPr>
          <w:rFonts w:cs="Arial"/>
          <w:spacing w:val="-3"/>
          <w:sz w:val="26"/>
          <w:szCs w:val="26"/>
        </w:rPr>
        <w:t>оздоровления детей и подростков соответствующего муниципального образования, своевременную его актуализацию, размещение его в сети Интернет</w:t>
      </w:r>
      <w:r>
        <w:rPr>
          <w:rFonts w:cs="Arial"/>
          <w:sz w:val="26"/>
          <w:szCs w:val="26"/>
        </w:rPr>
        <w:t>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bCs/>
          <w:color w:val="000000"/>
          <w:sz w:val="26"/>
          <w:szCs w:val="26"/>
        </w:rPr>
        <w:t xml:space="preserve">обеспечить ведение раздела «Организация </w:t>
      </w:r>
      <w:r>
        <w:rPr>
          <w:rFonts w:cs="Arial"/>
          <w:sz w:val="26"/>
          <w:szCs w:val="26"/>
        </w:rPr>
        <w:t xml:space="preserve">отдыха и оздоровления населения» </w:t>
      </w:r>
      <w:r>
        <w:rPr>
          <w:rFonts w:cs="Arial"/>
          <w:bCs/>
          <w:color w:val="000000"/>
          <w:sz w:val="26"/>
          <w:szCs w:val="26"/>
        </w:rPr>
        <w:t xml:space="preserve">на </w:t>
      </w:r>
      <w:r>
        <w:rPr>
          <w:rFonts w:cs="Arial"/>
          <w:sz w:val="26"/>
          <w:szCs w:val="26"/>
        </w:rPr>
        <w:t xml:space="preserve">официальных сайтах муниципальных образований; 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организовать информирование населения о механизме организации </w:t>
      </w:r>
      <w:r>
        <w:rPr>
          <w:rFonts w:cs="Arial"/>
          <w:bCs/>
          <w:color w:val="000000"/>
          <w:sz w:val="26"/>
          <w:szCs w:val="26"/>
        </w:rPr>
        <w:t>отдыха и оздоровления детей в оздоровительных организациях и учреждениях;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организацию работы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контроль за разработкой программ спортивных и досуговых площадок по месту жительства при учреждениях спорта и молодежной политики, образования, культуры, социального обслуживания населения;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работу общеобразовательными организациями по набору учащихся на смены с обучением в оздоровительные организации Тюменской области;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участвовать в развитии и внедрении различных форм отдыха, оздоровления и занятости, в том числе организации профильных, палаточных, оборонно-спортивных, оздоровительных лагерей, оздоровительных лагерей с дневным пребыванием, а также в создании условий для развития туризма;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оздоровительных лагерей с дневным пребыванием с организацией дневного сна (отдыха) детей младше 10 лет;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взять на контроль организацию выездов организованных групп детей за пределы Тюменской области и Российской Федерации; обеспечить оценку соответствия места размещения детской группы в месте назначения, в том числе с использованием электронных реестров, и направлением уведомлений в Управление Роспотребнадзора по Тюменской области не позднее чем за 3 дня до отъезда;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реализацию мер по повышению доступности услуг отдыха и оздоровления для детей-инвалидов;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мониторинг организации отдыха, оздоровления населения и занятости несовершеннолетних на территории муниципального образования по формам согласно приложениям № 3, 4 к настоящему распоряжению;</w:t>
      </w:r>
    </w:p>
    <w:p>
      <w:pPr>
        <w:pStyle w:val="Normal"/>
        <w:tabs>
          <w:tab w:val="left" w:pos="540" w:leader="none"/>
        </w:tabs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предоставлять в территориальное управление социальной защиты населения отчет для свода ежеквартально с нарастающим итогом в срок до 5 числа месяца, следующего за отчетным периодом, в летний период ежемесячно, с нарастающим итогом в срок до 5 числа месяца, следующего за отчетным периодом.</w:t>
      </w:r>
    </w:p>
    <w:p>
      <w:pPr>
        <w:pStyle w:val="Normal"/>
        <w:tabs>
          <w:tab w:val="left" w:pos="180" w:leader="none"/>
          <w:tab w:val="left" w:pos="360" w:leader="none"/>
          <w:tab w:val="left" w:pos="900" w:leader="none"/>
          <w:tab w:val="left" w:pos="1260" w:leader="none"/>
        </w:tabs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21. Рекомендовать главе Уватского муниципального района </w:t>
      </w:r>
      <w:r>
        <w:rPr>
          <w:rFonts w:cs="Arial"/>
          <w:iCs/>
          <w:sz w:val="26"/>
          <w:szCs w:val="26"/>
        </w:rPr>
        <w:t>обеспечить проведение детской оздоровительной кампании 2017 года с учетом особенностей проживания в районах Крайнего Севера и приравненных к ним местностях, включая обеспечение доступности летнего отдыха детей в районах с благоприятными природно-климатическими условиями.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22. Рекомендовать руководителям оздоровительных организаций различных типов: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провести необходимую подготовку детской оздоровительной организации к приему детей в соответствии с планом-заданием, разработанным руководителем оздоровительной организации, утвержденным учредителем оздоровительной организации, согласованным с Управлением Роспотребнадзора по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принять действенные меры по организации полноценного питания, подготовке и подбору квалифицированного персонала оздоровительной организации, сотрудников пищеблока;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использовать в питании детей пищевые продукты, обогащенные витаминами, микронутриентами, йодированную соль;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организовать качественный питьевой режим с использованием питьевой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воды, в том числе бутилированной, соответствующей требованиям санитарных</w:t>
      </w:r>
      <w:r>
        <w:rPr>
          <w:rFonts w:cs="Arial"/>
          <w:color w:val="FF0000"/>
          <w:sz w:val="26"/>
          <w:szCs w:val="26"/>
        </w:rPr>
        <w:t xml:space="preserve"> </w:t>
      </w:r>
      <w:r>
        <w:rPr>
          <w:rFonts w:cs="Arial"/>
          <w:sz w:val="26"/>
          <w:szCs w:val="26"/>
        </w:rPr>
        <w:t>правил;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установку охладительного оборудования (кондиционеров или иного оборудования) в летний период в складских помещениях с целью соблюдения условий хранения продовольственного сырья и пищевых продуктов;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обязательное проведение противоклещевой обработки территории детской оздоровительной организации и прилегающей к ней территории;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не допускать открытия детской оздоровительной организации без проведения противоклещевой обработки территории и контроля ее эффективности на территории учреждения и прилегающей к ней территории не менее 50 м;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деразитационных, дезинфекционных и дезинсекционных мероприятий открытых территорий, жилых корпусов, пищеблока, мест общего пользования за 7 дней до заезда детей;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не допускать открытия детской оздоровительной организации без получения санитарно-эпидемиологического заключения Управления Роспотребнадзора по Тюменской области в случае если это предусмотрено действующим законодательством;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выполнение противопожарных мероприятий, а также создание безопасных условий в местах отдыха на воде;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детские оздоровительные организации и учреждения системой пожарной автоматики с дублированием сигналов о возникновении пожара на пульт подразделения пожарной охраны без участия работников объекта и (или) транслирующей этот сигнал организации; устойчивой телефонной связью с пожарно-спасательными подразделениями; исправным состоянием противопожарных водоисточников и подъездных путей к ним, а также пирсов для установки пожарных автомобилей (при наличии); наличием и соответствием нормативным требованиям защитных минерализованных полос в детских оздоровительных организациях, имеющих общую границу с лесными участками; наличием и исправностью первичных средств пожаротушения, включая проверку огнетушителей, своевременностью их перезарядки;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безопасные условия при перевозке детей от пункта сбора до оздоровительной организации и обратно;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bookmarkStart w:id="6" w:name="_GoBack"/>
      <w:bookmarkEnd w:id="6"/>
      <w:r>
        <w:rPr>
          <w:rFonts w:cs="Arial"/>
          <w:sz w:val="26"/>
          <w:szCs w:val="26"/>
        </w:rPr>
        <w:t>привлекать к обеспечению общественного порядка и безопасности на территории детской оздоровительной организации и учреждения работников частных охранных предприятий и служб безопасности;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разработку и реализацию программ по организации отдыха и оздоровления детей и подростков, предусмотрев оздоровительные мероприятия с учетом состояния здоровья детей и их индивидуальной переносимости;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осуществлять проведение мероприятий на воде в рамках оздоровительных смен с обязательным уведомлением ГУ МЧС России по Тюменской области и освидетельствованием плавательных и спасательных средств в ГИМС ГУ МЧС России по Тюменской области;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 работников оздоровительной организации в обучающих семинарах, организуемых органами исполнительной власти Тюменской области и Управлением Роспотребнадзора по Тюменской области, а также прохождение медицинского осмотра и гигиенического обучения;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максимально использовать базу детской оздоровительной организации для предоставления услуг по отдыху и оздоровлению;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предусмотреть проведение всех возможных оздоровительных мероприятий, увеличение двигательной активности, пребывание на свежем воздухе, занятия физической культурой с учетом состояния здоровья и индивидуальной переносимости, предусмотреть организацию дневного сна для детей младше 10 лет;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привлекать организации (предприятия) Тюменской области к обеспечению детей их работников путевками в оздоровительные организации;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организовать страхование детей на период их пребывания в детской оздоровительной организации и доставки к месту отдыха и обратно;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проведение дополнительных инструктажей с работниками о соблюдении требований комплексной безопасности пребывания детей в оздоровительных организациях, персональной ответственности за выполнение своих должностных обязанностей;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заполнение и своевременную актуализацию типовой формы паспорта </w:t>
      </w:r>
      <w:r>
        <w:rPr>
          <w:rFonts w:cs="Arial"/>
          <w:bCs/>
          <w:sz w:val="26"/>
          <w:szCs w:val="26"/>
        </w:rPr>
        <w:t>организаций и учреждений отдыха и оздоровления детей и подростков</w:t>
      </w:r>
      <w:r>
        <w:rPr>
          <w:rFonts w:cs="Arial"/>
          <w:sz w:val="26"/>
          <w:szCs w:val="26"/>
        </w:rPr>
        <w:t xml:space="preserve"> и ее предоставление в Департамент социального развития Тюменской области для включения в реестр организаций отдыха детей и оздоровления Тюменской области;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создание и ведение </w:t>
      </w:r>
      <w:r>
        <w:rPr>
          <w:rFonts w:cs="Arial"/>
          <w:color w:val="000000"/>
          <w:spacing w:val="3"/>
          <w:sz w:val="26"/>
          <w:szCs w:val="26"/>
        </w:rPr>
        <w:t xml:space="preserve">в </w:t>
      </w:r>
      <w:r>
        <w:rPr>
          <w:rFonts w:cs="Arial"/>
          <w:color w:val="000000"/>
          <w:spacing w:val="7"/>
          <w:sz w:val="26"/>
          <w:szCs w:val="26"/>
        </w:rPr>
        <w:t>сети Интернет</w:t>
      </w:r>
      <w:r>
        <w:rPr>
          <w:rFonts w:cs="Arial"/>
          <w:color w:val="000000"/>
          <w:spacing w:val="3"/>
          <w:sz w:val="26"/>
          <w:szCs w:val="26"/>
        </w:rPr>
        <w:t xml:space="preserve"> информационного ресурса с размещением </w:t>
      </w:r>
      <w:r>
        <w:rPr>
          <w:rFonts w:cs="Arial"/>
          <w:sz w:val="26"/>
          <w:szCs w:val="26"/>
        </w:rPr>
        <w:t xml:space="preserve">справочных </w:t>
      </w:r>
      <w:r>
        <w:rPr>
          <w:rFonts w:cs="Arial"/>
          <w:color w:val="000000"/>
          <w:spacing w:val="3"/>
          <w:sz w:val="26"/>
          <w:szCs w:val="26"/>
        </w:rPr>
        <w:t xml:space="preserve">сведений </w:t>
      </w:r>
      <w:r>
        <w:rPr>
          <w:rFonts w:cs="Arial"/>
          <w:sz w:val="26"/>
          <w:szCs w:val="26"/>
        </w:rPr>
        <w:t>об оздоровительной организации, предоставляемых услугах, проводимых мероприятиях.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23. Рекомендовать Ассоциации организаторов отдыха и оздоровления населения «Мы вместе»:</w:t>
      </w:r>
    </w:p>
    <w:p>
      <w:pPr>
        <w:pStyle w:val="Normal"/>
        <w:tabs>
          <w:tab w:val="left" w:pos="426" w:leader="none"/>
        </w:tabs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сохранение коллективов, рабочих мест, защиту интересов работников отрасли отдыха и оздоровления;</w:t>
      </w:r>
    </w:p>
    <w:p>
      <w:pPr>
        <w:pStyle w:val="Normal"/>
        <w:tabs>
          <w:tab w:val="left" w:pos="426" w:leader="none"/>
        </w:tabs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формирование позитивного имиджа и корпоративной культуры отрасли отдыха и оздоровления;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оказать содействие в организации заполнения и своевременной актуализации руководителями, учредителями оздоровительных организаций типовой формы паспорта </w:t>
      </w:r>
      <w:r>
        <w:rPr>
          <w:rFonts w:cs="Arial"/>
          <w:bCs/>
          <w:sz w:val="26"/>
          <w:szCs w:val="26"/>
        </w:rPr>
        <w:t>организаций отдыха и оздоровления детей и подростков</w:t>
      </w:r>
      <w:r>
        <w:rPr>
          <w:rFonts w:cs="Arial"/>
          <w:sz w:val="26"/>
          <w:szCs w:val="26"/>
        </w:rPr>
        <w:t>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24. Автономной некоммерческой организации «Областной детский оздоровительно-образовательный центр «Ребячья республика»: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методическое сопровождение разработки программ отдыха и оздоровления оздоровительными организациями различных типов;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работу экспертно-методического совета по проведению экспертизы программ дополнительного образования загородных оздоровительных организаций и программ оздоровительных лагерей с дневным пребыванием на базе учреждений социального обслуживания населения;  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повышение квалификации, подготовку, переподготовку, обучение и аттестацию кадров отрасли детского отдыха и оздоровления;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работу Областной школы подготовки вожатых;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обеспечить научно-методическое сопровождение организации детского отдыха и оздоровления, в том числе в Черноморском районе Республики Крым.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25. Рекомендовать руководителям предприятий, учреждений, организаций различных форм собственности: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обеспечить отдых и оздоровление сотрудников и их детей в детских оздоровительных организациях и учреждениях, в том числе оказать содействие в приобретении сотрудниками путевок для детей </w:t>
      </w:r>
      <w:r>
        <w:rPr>
          <w:rFonts w:cs="Arial"/>
          <w:color w:val="000000"/>
          <w:sz w:val="26"/>
          <w:szCs w:val="26"/>
        </w:rPr>
        <w:t xml:space="preserve">на установленных Правительством Тюменской области условиях софинансирования стоимости путевок из </w:t>
      </w:r>
      <w:r>
        <w:rPr>
          <w:rFonts w:cs="Arial"/>
          <w:sz w:val="26"/>
          <w:szCs w:val="26"/>
        </w:rPr>
        <w:t>средств областного бюджета и средств родителей (законных представителей) детей;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принять меры по созданию временных рабочих мест на период каникул и в свободное от учебы время для несовершеннолетних граждан в возрасте от 14 до 18 лет, в том числе несовершеннолетних, родители которых работают на данных предприятиях.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26. Рекомендовать Региональному объединению работодателей «Союз работодателей Тюменской области» и Тюменскому межрегиональному объединению организаций профсоюзов: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обеспечить участие работодателей и профсоюзных объединений в софинансировании отдыха детей своих работников, в том числе в виде компенсации затрат по приобретенным путевкам;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осуществлять информирование населения о порядке организации детского отдыха через профсоюзные объединения и работодателей.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27. Рекомендовать Централизованной религиозной организации Тобольско-Тюменская епархия продолжить функционирование православного детского лагеря на базе Свято-Знаменского Абалакского мужского монастыря.</w:t>
      </w:r>
    </w:p>
    <w:p>
      <w:pPr>
        <w:pStyle w:val="Normal"/>
        <w:spacing w:before="0" w:after="120"/>
        <w:ind w:firstLine="540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>28. Департаменту образования и науки Тюменской области, Департаменту здравоохранения Тюменской области, Департаменту по спорту Тюменской области, Департаменту по общественным связям, коммуникациям и молодежной политике Тюменской области, Департаменту труда и занятости населения Тюменской области, Территориальному фонду обязательного медицинского страхования Тюменской области осуществлять мониторинг организации отдыха, оздоровления населения и занятости несовершеннолетних по формам согласно приложениям № 3, 4 к настоящему распоряжению, а также по иным вопросам, входящих в их компетенцию. Отчет предоставлять для свода в Департамент социального развития Тюменской области ежеквартально с нарастающим итогом в срок до 10 числа месяца, следующего за отчетным периодом, в летний период ежемесячно, с нарастающим итогом в срок до 10 числа месяца, следующего за отчетным периодом.</w:t>
      </w:r>
    </w:p>
    <w:p>
      <w:pPr>
        <w:pStyle w:val="Normal"/>
        <w:spacing w:before="0" w:after="120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Мониторинг организации отдыха, оздоровления и занятости несовершеннолетних ведется в рамках областного межведомственного банка данных с соблюдением установленных федеральным законодательством мероприятий по обеспечению безопасности содержащихся в банке персональных данных.</w:t>
      </w:r>
    </w:p>
    <w:p>
      <w:pPr>
        <w:pStyle w:val="Normal"/>
        <w:ind w:firstLine="539"/>
        <w:jc w:val="both"/>
        <w:rPr>
          <w:sz w:val="26"/>
          <w:szCs w:val="26"/>
        </w:rPr>
      </w:pPr>
      <w:r>
        <w:rPr>
          <w:rFonts w:cs="Arial"/>
          <w:sz w:val="26"/>
          <w:szCs w:val="26"/>
        </w:rPr>
        <w:t xml:space="preserve">29. </w:t>
      </w:r>
      <w:r>
        <w:rPr>
          <w:rFonts w:cs="Arial"/>
          <w:color w:val="000000"/>
          <w:sz w:val="26"/>
          <w:szCs w:val="26"/>
        </w:rPr>
        <w:t>Контроль за исполнением настоящего распоряжения возложить на заместителя Губернатора Тюменской области, директора Департамента социального развития Тюменской области.</w:t>
      </w:r>
    </w:p>
    <w:p>
      <w:pPr>
        <w:pStyle w:val="Normal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ind w:firstLine="539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pStyle w:val="Normal"/>
        <w:ind w:firstLine="540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</w:r>
    </w:p>
    <w:p>
      <w:pPr>
        <w:sectPr>
          <w:headerReference w:type="default" r:id="rId7"/>
          <w:footerReference w:type="default" r:id="rId8"/>
          <w:footerReference w:type="first" r:id="rId9"/>
          <w:type w:val="nextPage"/>
          <w:pgSz w:w="11906" w:h="16838"/>
          <w:pgMar w:left="1701" w:right="567" w:header="567" w:top="624" w:footer="442" w:bottom="992" w:gutter="0"/>
          <w:pgNumType w:fmt="decimal"/>
          <w:formProt w:val="false"/>
          <w:titlePg/>
          <w:textDirection w:val="lrTb"/>
          <w:docGrid w:type="default" w:linePitch="360" w:charSpace="4294961151"/>
        </w:sectPr>
        <w:pStyle w:val="Normal"/>
        <w:rPr>
          <w:rFonts w:cs="Arial"/>
          <w:sz w:val="26"/>
          <w:szCs w:val="26"/>
        </w:rPr>
      </w:pPr>
      <w:r>
        <w:rPr>
          <w:rFonts w:cs="Arial"/>
          <w:sz w:val="28"/>
          <w:szCs w:val="28"/>
        </w:rPr>
        <w:t>Губернатор области</w:t>
        <w:tab/>
        <w:tab/>
        <w:tab/>
        <w:t xml:space="preserve">                                              </w:t>
      </w:r>
      <w:r>
        <w:rPr>
          <w:rFonts w:cs="Arial"/>
          <w:b/>
          <w:sz w:val="28"/>
          <w:szCs w:val="28"/>
        </w:rPr>
        <w:t>В.В. Якушев</w:t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0"/>
        <w:gridCol w:w="4535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1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>
            <w:pPr>
              <w:pStyle w:val="Normal"/>
              <w:spacing w:lineRule="auto" w:line="3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Предельная стоимость путевок, </w:t>
      </w:r>
    </w:p>
    <w:p>
      <w:pPr>
        <w:pStyle w:val="Normal"/>
        <w:jc w:val="center"/>
        <w:rPr>
          <w:rFonts w:cs="Arial"/>
          <w:b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приобретаемых за счет средств областного бюджета,  </w:t>
      </w:r>
    </w:p>
    <w:p>
      <w:pPr>
        <w:pStyle w:val="Normal"/>
        <w:jc w:val="center"/>
        <w:rPr/>
      </w:pPr>
      <w:r>
        <w:rPr>
          <w:rFonts w:cs="Arial"/>
          <w:b/>
          <w:bCs/>
          <w:sz w:val="26"/>
          <w:szCs w:val="26"/>
        </w:rPr>
        <w:t>в оздоровительные организации различных типов</w:t>
      </w:r>
      <w:r>
        <w:rPr>
          <w:rFonts w:cs="Arial"/>
          <w:b/>
          <w:sz w:val="26"/>
          <w:szCs w:val="26"/>
        </w:rPr>
        <w:t xml:space="preserve">*, </w:t>
      </w:r>
    </w:p>
    <w:p>
      <w:pPr>
        <w:pStyle w:val="Normal"/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стационарные палаточные лагеря в 2017 году</w:t>
      </w:r>
    </w:p>
    <w:p>
      <w:pPr>
        <w:pStyle w:val="Normal"/>
        <w:rPr>
          <w:rFonts w:cs="Arial"/>
          <w:bCs/>
          <w:strike/>
          <w:sz w:val="26"/>
          <w:szCs w:val="26"/>
        </w:rPr>
      </w:pPr>
      <w:r>
        <w:rPr>
          <w:rFonts w:cs="Arial"/>
          <w:bCs/>
          <w:strike/>
          <w:sz w:val="26"/>
          <w:szCs w:val="26"/>
        </w:rPr>
        <w:t xml:space="preserve">                                                                                                                                 </w:t>
      </w:r>
    </w:p>
    <w:tbl>
      <w:tblPr>
        <w:tblW w:w="10320" w:type="dxa"/>
        <w:jc w:val="left"/>
        <w:tblInd w:w="-62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2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78"/>
        <w:gridCol w:w="3570"/>
        <w:gridCol w:w="3572"/>
      </w:tblGrid>
      <w:tr>
        <w:trPr>
          <w:trHeight w:val="450" w:hRule="atLeast"/>
        </w:trPr>
        <w:tc>
          <w:tcPr>
            <w:tcW w:w="31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 xml:space="preserve">класс или тип </w:t>
            </w:r>
            <w:r>
              <w:rPr>
                <w:rFonts w:cs="Arial"/>
                <w:bCs/>
                <w:sz w:val="22"/>
                <w:szCs w:val="22"/>
              </w:rPr>
              <w:t>оздоровительной организации</w:t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путевок, приобретаемых за счет средств государственной программы Тюменской области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>«Развитие отрасли «Социальная политика»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2"/>
                <w:szCs w:val="22"/>
              </w:rPr>
              <w:t xml:space="preserve">Предельная стоимость путевок, приобретаемых за счет средств государственной программы Тюменской области </w:t>
            </w:r>
            <w:bookmarkStart w:id="7" w:name="__DdeLink__26101_1054184436"/>
            <w:r>
              <w:rPr>
                <w:rFonts w:cs="Arial"/>
                <w:sz w:val="22"/>
                <w:szCs w:val="22"/>
              </w:rPr>
              <w:t>по реализации Договора между органами государственной власти Тюменской области, Ханты-Мансийского автономного округа – Югры</w:t>
            </w:r>
            <w:bookmarkEnd w:id="7"/>
            <w:r>
              <w:rPr>
                <w:rFonts w:cs="Arial"/>
                <w:sz w:val="22"/>
                <w:szCs w:val="22"/>
              </w:rPr>
              <w:t xml:space="preserve"> «Сотрудничество»</w:t>
            </w:r>
          </w:p>
        </w:tc>
      </w:tr>
      <w:tr>
        <w:trPr>
          <w:trHeight w:val="940" w:hRule="atLeast"/>
        </w:trPr>
        <w:tc>
          <w:tcPr>
            <w:tcW w:w="317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предельная стоимость одного дня пребывания, руб.</w:t>
            </w:r>
          </w:p>
        </w:tc>
      </w:tr>
      <w:tr>
        <w:trPr/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1 класса</w:t>
            </w:r>
          </w:p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2330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2530</w:t>
            </w:r>
          </w:p>
        </w:tc>
      </w:tr>
      <w:tr>
        <w:trPr/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оздоровительные организации 2 класса </w:t>
            </w:r>
          </w:p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1277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1946</w:t>
            </w:r>
          </w:p>
        </w:tc>
      </w:tr>
      <w:tr>
        <w:trPr/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2 класса санаторного типа</w:t>
            </w:r>
          </w:p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1418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2183</w:t>
            </w:r>
          </w:p>
        </w:tc>
      </w:tr>
      <w:tr>
        <w:trPr/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оздоровительные организации 3 класса и без присвоения классности</w:t>
            </w:r>
          </w:p>
          <w:p>
            <w:pPr>
              <w:pStyle w:val="Normal"/>
              <w:jc w:val="center"/>
              <w:rPr>
                <w:rFonts w:cs="Arial"/>
                <w:strike/>
              </w:rPr>
            </w:pPr>
            <w:r>
              <w:rPr>
                <w:rFonts w:cs="Arial"/>
                <w:strike/>
              </w:rPr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669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1020</w:t>
            </w:r>
          </w:p>
        </w:tc>
      </w:tr>
      <w:tr>
        <w:trPr>
          <w:trHeight w:val="326" w:hRule="atLeast"/>
        </w:trPr>
        <w:tc>
          <w:tcPr>
            <w:tcW w:w="31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Стационарные палаточные лагеря</w:t>
            </w:r>
          </w:p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3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860</w:t>
            </w:r>
          </w:p>
        </w:tc>
        <w:tc>
          <w:tcPr>
            <w:tcW w:w="3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2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995</w:t>
            </w:r>
          </w:p>
        </w:tc>
      </w:tr>
    </w:tbl>
    <w:p>
      <w:pPr>
        <w:pStyle w:val="Normal"/>
        <w:rPr>
          <w:rFonts w:cs="Arial"/>
          <w:b/>
          <w:b/>
          <w:strike/>
        </w:rPr>
      </w:pPr>
      <w:r>
        <w:rPr>
          <w:rFonts w:cs="Arial"/>
          <w:b/>
          <w:strike/>
        </w:rPr>
      </w:r>
    </w:p>
    <w:p>
      <w:pPr>
        <w:pStyle w:val="Normal"/>
        <w:jc w:val="both"/>
        <w:rPr/>
      </w:pPr>
      <w:r>
        <w:rPr>
          <w:rFonts w:cs="Arial"/>
          <w:b/>
          <w:sz w:val="26"/>
          <w:szCs w:val="26"/>
        </w:rPr>
        <w:t xml:space="preserve">* </w:t>
      </w:r>
      <w:r>
        <w:rPr>
          <w:rFonts w:cs="Arial"/>
          <w:sz w:val="26"/>
          <w:szCs w:val="26"/>
        </w:rPr>
        <w:t>Предельная стоимость путевки не применяется в случаях, когда конкурсной документацией при проведении государственных закупок на оказание услуг по организации отдыха и оздоровления несовершеннолетних не предусмотрено применение предельной стоимости путевки.</w:t>
      </w:r>
    </w:p>
    <w:p>
      <w:pPr>
        <w:pStyle w:val="Normal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Проезд детей и подростков к месту отдыха и обратно оплачивается по фактически сложившимся ценам.</w:t>
      </w:r>
    </w:p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sectPr>
          <w:footerReference w:type="default" r:id="rId10"/>
          <w:type w:val="nextPage"/>
          <w:pgSz w:w="11906" w:h="16838"/>
          <w:pgMar w:left="1701" w:right="567" w:header="0" w:top="567" w:footer="442" w:bottom="992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960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0"/>
        <w:gridCol w:w="4535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2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>
            <w:pPr>
              <w:pStyle w:val="Normal"/>
              <w:spacing w:lineRule="auto" w:line="3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Стоимость набора продуктов питания</w:t>
      </w:r>
    </w:p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 xml:space="preserve">для детей и подростков в оздоровительных лагерях </w:t>
      </w:r>
    </w:p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с дневным пребыванием (трехразовое питание) в 2017 году</w:t>
      </w:r>
    </w:p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jc w:val="center"/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tblW w:w="983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6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16"/>
        <w:gridCol w:w="4915"/>
      </w:tblGrid>
      <w:tr>
        <w:trPr>
          <w:trHeight w:val="533" w:hRule="atLeast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6"/>
                <w:szCs w:val="26"/>
              </w:rPr>
              <w:t>Вид территории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26"/>
                <w:szCs w:val="26"/>
              </w:rPr>
            </w:pPr>
            <w:r>
              <w:rPr>
                <w:rFonts w:cs="Arial"/>
                <w:sz w:val="26"/>
                <w:szCs w:val="26"/>
              </w:rPr>
              <w:t xml:space="preserve">Стоимость одного набора </w:t>
            </w:r>
          </w:p>
          <w:p>
            <w:pPr>
              <w:pStyle w:val="Normal"/>
              <w:jc w:val="center"/>
              <w:rPr/>
            </w:pPr>
            <w:r>
              <w:rPr>
                <w:rFonts w:cs="Arial"/>
                <w:sz w:val="26"/>
                <w:szCs w:val="26"/>
              </w:rPr>
              <w:t>продуктов питания</w:t>
            </w:r>
          </w:p>
        </w:tc>
      </w:tr>
      <w:tr>
        <w:trPr>
          <w:trHeight w:val="533" w:hRule="atLeast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26"/>
                <w:szCs w:val="26"/>
              </w:rPr>
              <w:t xml:space="preserve">сельские                </w:t>
              <w:br/>
            </w:r>
            <w:r>
              <w:rPr>
                <w:rFonts w:cs="Arial"/>
                <w:i/>
                <w:sz w:val="26"/>
                <w:szCs w:val="26"/>
              </w:rPr>
              <w:t>(за исключением Уватского муниципального района)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6"/>
                <w:szCs w:val="26"/>
              </w:rPr>
              <w:t>до 144 руб.</w:t>
            </w:r>
          </w:p>
        </w:tc>
      </w:tr>
      <w:tr>
        <w:trPr>
          <w:trHeight w:val="541" w:hRule="atLeast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26"/>
                <w:szCs w:val="26"/>
              </w:rPr>
              <w:t xml:space="preserve">городские         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6"/>
                <w:szCs w:val="26"/>
              </w:rPr>
              <w:t>до 146 руб.</w:t>
            </w:r>
          </w:p>
        </w:tc>
      </w:tr>
      <w:tr>
        <w:trPr>
          <w:trHeight w:val="535" w:hRule="atLeast"/>
        </w:trPr>
        <w:tc>
          <w:tcPr>
            <w:tcW w:w="49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26"/>
                <w:szCs w:val="26"/>
              </w:rPr>
              <w:t xml:space="preserve">Уватский муниципальный район      </w:t>
            </w:r>
          </w:p>
        </w:tc>
        <w:tc>
          <w:tcPr>
            <w:tcW w:w="4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sz w:val="26"/>
                <w:szCs w:val="26"/>
              </w:rPr>
              <w:t>до 153 руб.</w:t>
            </w:r>
          </w:p>
        </w:tc>
      </w:tr>
    </w:tbl>
    <w:p>
      <w:pPr>
        <w:pStyle w:val="Normal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footerReference w:type="default" r:id="rId11"/>
          <w:type w:val="nextPage"/>
          <w:pgSz w:w="11906" w:h="16838"/>
          <w:pgMar w:left="1701" w:right="567" w:header="0" w:top="567" w:footer="442" w:bottom="992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ind w:left="-900" w:hanging="0"/>
        <w:jc w:val="right"/>
        <w:rPr>
          <w:rFonts w:cs="Arial"/>
        </w:rPr>
      </w:pPr>
      <w:r>
        <w:rPr>
          <w:rFonts w:cs="Arial"/>
        </w:rPr>
      </w:r>
    </w:p>
    <w:tbl>
      <w:tblPr>
        <w:tblW w:w="9606" w:type="dxa"/>
        <w:jc w:val="left"/>
        <w:tblInd w:w="579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0"/>
        <w:gridCol w:w="4535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3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>
            <w:pPr>
              <w:pStyle w:val="Normal"/>
              <w:spacing w:lineRule="auto" w:line="3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>
      <w:pPr>
        <w:pStyle w:val="Normal"/>
        <w:jc w:val="center"/>
        <w:rPr/>
      </w:pPr>
      <w:r>
        <w:rPr>
          <w:rFonts w:cs="Arial"/>
          <w:b/>
          <w:bCs/>
        </w:rPr>
        <w:t>Сведения</w:t>
      </w:r>
    </w:p>
    <w:p>
      <w:pPr>
        <w:pStyle w:val="Normal"/>
        <w:jc w:val="center"/>
        <w:rPr/>
      </w:pPr>
      <w:r>
        <w:rPr>
          <w:rFonts w:cs="Arial"/>
          <w:b/>
          <w:bCs/>
        </w:rPr>
        <w:t>о финансировании отдыха, оздоровления и занятости несовершеннолетних в 2017 году</w:t>
      </w:r>
    </w:p>
    <w:p>
      <w:pPr>
        <w:pStyle w:val="Normal"/>
        <w:jc w:val="both"/>
        <w:rPr>
          <w:rFonts w:cs="Arial"/>
          <w:i/>
          <w:i/>
          <w:sz w:val="14"/>
        </w:rPr>
      </w:pPr>
      <w:r>
        <w:rPr>
          <w:rFonts w:cs="Arial"/>
          <w:i/>
          <w:sz w:val="14"/>
        </w:rPr>
      </w:r>
    </w:p>
    <w:tbl>
      <w:tblPr>
        <w:tblW w:w="15600" w:type="dxa"/>
        <w:jc w:val="left"/>
        <w:tblInd w:w="-339" w:type="dxa"/>
        <w:tblBorders>
          <w:top w:val="single" w:sz="8" w:space="0" w:color="00000A"/>
          <w:left w:val="single" w:sz="8" w:space="0" w:color="00000A"/>
          <w:bottom w:val="single" w:sz="4" w:space="0" w:color="000001"/>
          <w:right w:val="single" w:sz="8" w:space="0" w:color="00000A"/>
          <w:insideH w:val="single" w:sz="4" w:space="0" w:color="000001"/>
          <w:insideV w:val="single" w:sz="8" w:space="0" w:color="00000A"/>
        </w:tblBorders>
        <w:tblCellMar>
          <w:top w:w="0" w:type="dxa"/>
          <w:left w:w="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74"/>
        <w:gridCol w:w="1257"/>
        <w:gridCol w:w="1019"/>
        <w:gridCol w:w="945"/>
        <w:gridCol w:w="2"/>
        <w:gridCol w:w="922"/>
        <w:gridCol w:w="1123"/>
        <w:gridCol w:w="740"/>
        <w:gridCol w:w="720"/>
        <w:gridCol w:w="760"/>
        <w:gridCol w:w="2"/>
        <w:gridCol w:w="898"/>
        <w:gridCol w:w="2"/>
        <w:gridCol w:w="722"/>
        <w:gridCol w:w="743"/>
        <w:gridCol w:w="697"/>
        <w:gridCol w:w="873"/>
      </w:tblGrid>
      <w:tr>
        <w:trPr>
          <w:trHeight w:val="432" w:hRule="atLeast"/>
        </w:trPr>
        <w:tc>
          <w:tcPr>
            <w:tcW w:w="417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Формы организации отдыха и оздоровления детей</w:t>
            </w:r>
          </w:p>
        </w:tc>
        <w:tc>
          <w:tcPr>
            <w:tcW w:w="125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Количество организаций отдыха и оздоровления, площадок по месту жительства, походов, путешествий, экскурсий</w:t>
            </w:r>
          </w:p>
        </w:tc>
        <w:tc>
          <w:tcPr>
            <w:tcW w:w="1964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численность оздоровленных детей</w:t>
            </w:r>
          </w:p>
        </w:tc>
        <w:tc>
          <w:tcPr>
            <w:tcW w:w="8204" w:type="dxa"/>
            <w:gridSpan w:val="13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  <w:insideH w:val="single" w:sz="8" w:space="0" w:color="00000A"/>
              <w:insideV w:val="single" w:sz="8" w:space="0" w:color="000001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Расходы на оздоровительную кампанию детей в отчетном периоде, </w:t>
            </w:r>
          </w:p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тыс. руб.</w:t>
            </w:r>
          </w:p>
        </w:tc>
      </w:tr>
      <w:tr>
        <w:trPr>
          <w:trHeight w:val="428" w:hRule="atLeast"/>
        </w:trPr>
        <w:tc>
          <w:tcPr>
            <w:tcW w:w="417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9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(чел.)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 детей, находящихся в трудной жизненной ситуации</w:t>
            </w:r>
          </w:p>
        </w:tc>
        <w:tc>
          <w:tcPr>
            <w:tcW w:w="922" w:type="dxa"/>
            <w:vMerge w:val="restart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8" w:type="dxa"/>
            </w:tcMar>
            <w:textDirection w:val="btL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всего средств на оздоровительную кампанию детей</w:t>
            </w:r>
          </w:p>
        </w:tc>
        <w:tc>
          <w:tcPr>
            <w:tcW w:w="3343" w:type="dxa"/>
            <w:gridSpan w:val="4"/>
            <w:tcBorders>
              <w:top w:val="single" w:sz="8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всего средств на оздоровление детей, наход-ся в тр. жиз. сит. </w:t>
            </w:r>
          </w:p>
        </w:tc>
        <w:tc>
          <w:tcPr>
            <w:tcW w:w="3037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в том числе</w:t>
            </w:r>
          </w:p>
        </w:tc>
      </w:tr>
      <w:tr>
        <w:trPr>
          <w:trHeight w:val="1780" w:hRule="exact"/>
          <w:cantSplit w:val="true"/>
        </w:trPr>
        <w:tc>
          <w:tcPr>
            <w:tcW w:w="4174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57" w:type="dxa"/>
            <w:vMerge w:val="continue"/>
            <w:tcBorders>
              <w:top w:val="single" w:sz="8" w:space="0" w:color="00000A"/>
              <w:left w:val="single" w:sz="8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9" w:type="dxa"/>
            <w:vMerge w:val="continue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7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8" w:space="0" w:color="00000A"/>
              <w:insideH w:val="single" w:sz="4" w:space="0" w:color="000001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2" w:type="dxa"/>
            <w:vMerge w:val="continue"/>
            <w:tcBorders>
              <w:top w:val="single" w:sz="4" w:space="0" w:color="000001"/>
              <w:left w:val="single" w:sz="8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субсидии Федерального бюджета</w:t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области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  <w:tc>
          <w:tcPr>
            <w:tcW w:w="900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субсидии Федерального бюджета 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бюджет Тюменской области</w:t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местные бюджеты </w:t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средства родителей и предприятий</w:t>
            </w:r>
          </w:p>
        </w:tc>
      </w:tr>
      <w:tr>
        <w:trPr>
          <w:trHeight w:val="555" w:hRule="atLeast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детские загородные оздоровительные лагеря различных типов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355" w:hRule="atLeast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оздоровительные лагеря с дневным пребыванием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529" w:hRule="atLeast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 xml:space="preserve">санаторно-курортные организации и реабилитационные центры 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358" w:hRule="atLeast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20"/>
                <w:szCs w:val="20"/>
              </w:rPr>
              <w:t>палаточные лагеря продолжительностью от 5 дней.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347" w:hRule="atLeast"/>
        </w:trPr>
        <w:tc>
          <w:tcPr>
            <w:tcW w:w="417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детские оздоровительные организации за пределами региона</w:t>
            </w:r>
          </w:p>
        </w:tc>
        <w:tc>
          <w:tcPr>
            <w:tcW w:w="125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  <w:insideH w:val="single" w:sz="4" w:space="0" w:color="00000A"/>
              <w:insideV w:val="single" w:sz="8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257" w:hRule="atLeast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площадки по месту жительства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216" w:hRule="atLeast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20"/>
                <w:szCs w:val="20"/>
              </w:rPr>
              <w:t>многодневные походы и экспедиции продолжительностью до 5 дней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375" w:hRule="atLeast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eastAsia="MS Mincho" w:cs="Arial"/>
                <w:bCs/>
                <w:sz w:val="20"/>
                <w:szCs w:val="20"/>
                <w:lang w:eastAsia="ja-JP"/>
              </w:rPr>
              <w:t>трудоустройство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  <w:tr>
        <w:trPr>
          <w:trHeight w:val="168" w:hRule="atLeast"/>
        </w:trPr>
        <w:tc>
          <w:tcPr>
            <w:tcW w:w="417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cs="Arial"/>
                <w:bCs/>
                <w:lang w:eastAsia="ja-JP"/>
              </w:rPr>
              <w:t>Всего</w:t>
            </w:r>
          </w:p>
        </w:tc>
        <w:tc>
          <w:tcPr>
            <w:tcW w:w="12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MS Mincho" w:cs="Arial"/>
                <w:bCs/>
                <w:lang w:eastAsia="ja-JP"/>
              </w:rPr>
              <w:t>Х</w:t>
            </w:r>
          </w:p>
        </w:tc>
        <w:tc>
          <w:tcPr>
            <w:tcW w:w="1019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4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  <w:insideH w:val="single" w:sz="8" w:space="0" w:color="00000A"/>
              <w:insideV w:val="single" w:sz="8" w:space="0" w:color="00000A"/>
            </w:tcBorders>
            <w:shd w:color="auto" w:fill="FFFFFF" w:val="clear"/>
            <w:tcMar>
              <w:left w:w="17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112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0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62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900" w:type="dxa"/>
            <w:gridSpan w:val="2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22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74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697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  <w:tc>
          <w:tcPr>
            <w:tcW w:w="873" w:type="dxa"/>
            <w:tcBorders>
              <w:top w:val="single" w:sz="8" w:space="0" w:color="00000A"/>
              <w:left w:val="single" w:sz="4" w:space="0" w:color="00000A"/>
              <w:bottom w:val="single" w:sz="8" w:space="0" w:color="00000A"/>
              <w:right w:val="single" w:sz="4" w:space="0" w:color="00000A"/>
              <w:insideH w:val="single" w:sz="8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eastAsia="MS Mincho" w:cs="Arial"/>
                <w:bCs/>
                <w:lang w:eastAsia="ja-JP"/>
              </w:rPr>
            </w:pPr>
            <w:r>
              <w:rPr>
                <w:rFonts w:eastAsia="MS Mincho" w:cs="Arial"/>
                <w:bCs/>
                <w:lang w:eastAsia="ja-JP"/>
              </w:rPr>
            </w:r>
          </w:p>
        </w:tc>
      </w:tr>
    </w:tbl>
    <w:p>
      <w:pPr>
        <w:pStyle w:val="Normal"/>
        <w:jc w:val="both"/>
        <w:rPr/>
      </w:pPr>
      <w:r>
        <w:rPr>
          <w:rFonts w:cs="Arial"/>
          <w:i/>
          <w:sz w:val="18"/>
          <w:szCs w:val="18"/>
        </w:rPr>
        <w:t>* Указывать объем выделенных средств с нарастающим итогом.</w:t>
      </w:r>
    </w:p>
    <w:p>
      <w:pPr>
        <w:pStyle w:val="Normal"/>
        <w:jc w:val="both"/>
        <w:rPr>
          <w:rFonts w:cs="Arial"/>
          <w:i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* Отчет предоставлять для свода в территориальные управления социальной защиты населения с нарастающим итогом ежеквартально в срок до 5 числа месяца, следующего за отчетным периодом, в летний период ежемесячно, в срок до 5 числа месяца, следующего за отчетным периодом.</w:t>
      </w:r>
    </w:p>
    <w:p>
      <w:pPr>
        <w:pStyle w:val="Normal"/>
        <w:jc w:val="both"/>
        <w:rPr>
          <w:rFonts w:cs="Arial"/>
          <w:i/>
          <w:i/>
          <w:sz w:val="18"/>
          <w:szCs w:val="18"/>
        </w:rPr>
      </w:pPr>
      <w:r>
        <w:rPr>
          <w:rFonts w:cs="Arial"/>
          <w:i/>
          <w:sz w:val="18"/>
          <w:szCs w:val="18"/>
        </w:rPr>
      </w:r>
    </w:p>
    <w:p>
      <w:pPr>
        <w:sectPr>
          <w:footerReference w:type="default" r:id="rId12"/>
          <w:type w:val="nextPage"/>
          <w:pgSz w:orient="landscape" w:w="16838" w:h="11906"/>
          <w:pgMar w:left="1134" w:right="1134" w:header="0" w:top="1134" w:footer="520" w:bottom="709" w:gutter="0"/>
          <w:pgNumType w:fmt="decimal"/>
          <w:formProt w:val="false"/>
          <w:textDirection w:val="lrTb"/>
          <w:docGrid w:type="default" w:linePitch="360" w:charSpace="4294961151"/>
        </w:sectPr>
        <w:pStyle w:val="Normal"/>
        <w:jc w:val="both"/>
        <w:rPr/>
      </w:pPr>
      <w:r>
        <w:rPr/>
      </w:r>
    </w:p>
    <w:tbl>
      <w:tblPr>
        <w:tblW w:w="9606" w:type="dxa"/>
        <w:jc w:val="left"/>
        <w:tblInd w:w="5841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070"/>
        <w:gridCol w:w="4535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spacing w:lineRule="auto" w:line="360"/>
              <w:rPr>
                <w:sz w:val="26"/>
              </w:rPr>
            </w:pPr>
            <w:r>
              <w:rPr>
                <w:sz w:val="26"/>
              </w:rPr>
            </w:r>
          </w:p>
        </w:tc>
        <w:tc>
          <w:tcPr>
            <w:tcW w:w="4535" w:type="dxa"/>
            <w:tcBorders/>
            <w:shd w:fill="auto" w:val="clear"/>
          </w:tcPr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>Приложение № 4</w:t>
            </w:r>
          </w:p>
          <w:p>
            <w:pPr>
              <w:pStyle w:val="Normal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к распоряжению Правительства </w:t>
            </w:r>
          </w:p>
          <w:p>
            <w:pPr>
              <w:pStyle w:val="Normal"/>
              <w:spacing w:lineRule="auto" w:line="288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Тюменской области </w:t>
            </w:r>
          </w:p>
          <w:p>
            <w:pPr>
              <w:pStyle w:val="Normal"/>
              <w:spacing w:lineRule="auto" w:line="36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от                      №</w:t>
            </w:r>
          </w:p>
        </w:tc>
      </w:tr>
    </w:tbl>
    <w:p>
      <w:pPr>
        <w:pStyle w:val="Normal"/>
        <w:jc w:val="both"/>
        <w:rPr/>
      </w:pPr>
      <w:r>
        <w:rPr/>
      </w:r>
    </w:p>
    <w:tbl>
      <w:tblPr>
        <w:tblW w:w="5000" w:type="pct"/>
        <w:jc w:val="left"/>
        <w:tblInd w:w="-45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8"/>
        <w:gridCol w:w="4611"/>
        <w:gridCol w:w="623"/>
        <w:gridCol w:w="1118"/>
        <w:gridCol w:w="780"/>
        <w:gridCol w:w="838"/>
        <w:gridCol w:w="840"/>
        <w:gridCol w:w="672"/>
        <w:gridCol w:w="840"/>
        <w:gridCol w:w="674"/>
        <w:gridCol w:w="672"/>
        <w:gridCol w:w="840"/>
        <w:gridCol w:w="894"/>
        <w:gridCol w:w="896"/>
      </w:tblGrid>
      <w:tr>
        <w:trPr>
          <w:trHeight w:val="100" w:hRule="atLeast"/>
        </w:trPr>
        <w:tc>
          <w:tcPr>
            <w:tcW w:w="15136" w:type="dxa"/>
            <w:gridSpan w:val="14"/>
            <w:tcBorders/>
            <w:shd w:color="auto" w:fill="FFFFFF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</w:rPr>
              <w:t>Мониторинг организации отдыха, оздоровления и занятости несовершеннолетних в 2017 году</w:t>
            </w:r>
          </w:p>
        </w:tc>
      </w:tr>
      <w:tr>
        <w:trPr>
          <w:trHeight w:val="110" w:hRule="atLeast"/>
        </w:trPr>
        <w:tc>
          <w:tcPr>
            <w:tcW w:w="838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>
                <w:rFonts w:cs="Arial"/>
                <w:bCs/>
                <w:i/>
                <w:sz w:val="17"/>
                <w:szCs w:val="17"/>
              </w:rPr>
              <w:t> </w:t>
            </w:r>
          </w:p>
        </w:tc>
        <w:tc>
          <w:tcPr>
            <w:tcW w:w="14298" w:type="dxa"/>
            <w:gridSpan w:val="13"/>
            <w:tcBorders/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rFonts w:cs="Arial"/>
                <w:bCs/>
                <w:i/>
                <w:i/>
                <w:sz w:val="17"/>
                <w:szCs w:val="17"/>
              </w:rPr>
            </w:pPr>
            <w:r>
              <w:rPr>
                <w:rFonts w:cs="Arial"/>
                <w:bCs/>
                <w:i/>
                <w:sz w:val="17"/>
                <w:szCs w:val="17"/>
              </w:rPr>
            </w:r>
          </w:p>
          <w:p>
            <w:pPr>
              <w:pStyle w:val="Normal"/>
              <w:jc w:val="center"/>
              <w:rPr>
                <w:rFonts w:cs="Arial"/>
                <w:bCs/>
                <w:i/>
                <w:i/>
                <w:sz w:val="17"/>
                <w:szCs w:val="17"/>
              </w:rPr>
            </w:pPr>
            <w:r>
              <w:rPr>
                <w:rFonts w:cs="Arial"/>
                <w:bCs/>
                <w:i/>
                <w:sz w:val="17"/>
                <w:szCs w:val="17"/>
              </w:rPr>
            </w:r>
          </w:p>
        </w:tc>
      </w:tr>
      <w:tr>
        <w:trPr>
          <w:trHeight w:val="264" w:hRule="atLeast"/>
          <w:cantSplit w:val="true"/>
        </w:trPr>
        <w:tc>
          <w:tcPr>
            <w:tcW w:w="838" w:type="dxa"/>
            <w:vMerge w:val="restart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>
                <w:rFonts w:cs="Arial"/>
                <w:bCs/>
                <w:sz w:val="17"/>
                <w:szCs w:val="17"/>
              </w:rPr>
            </w:pPr>
            <w:r>
              <w:rPr>
                <w:rFonts w:cs="Arial"/>
                <w:bCs/>
                <w:sz w:val="17"/>
                <w:szCs w:val="17"/>
              </w:rPr>
            </w:r>
          </w:p>
        </w:tc>
        <w:tc>
          <w:tcPr>
            <w:tcW w:w="461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Cs/>
                <w:sz w:val="17"/>
                <w:szCs w:val="17"/>
              </w:rPr>
              <w:t>Виды оздоровления и занятости</w:t>
            </w:r>
          </w:p>
        </w:tc>
        <w:tc>
          <w:tcPr>
            <w:tcW w:w="62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cs="Arial"/>
                <w:bCs/>
                <w:sz w:val="17"/>
                <w:szCs w:val="17"/>
              </w:rPr>
              <w:t>численность детей 6-18 лет на территории по данным Росстата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cs="Arial"/>
                <w:bCs/>
                <w:sz w:val="17"/>
                <w:szCs w:val="17"/>
              </w:rPr>
              <w:t>численность семей с детьми школьного возраста</w:t>
            </w:r>
          </w:p>
        </w:tc>
        <w:tc>
          <w:tcPr>
            <w:tcW w:w="794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Cs/>
                <w:sz w:val="17"/>
                <w:szCs w:val="17"/>
              </w:rPr>
              <w:t>охват детей видами отдыха, оздоровления и занятости, чел.</w:t>
            </w:r>
          </w:p>
        </w:tc>
      </w:tr>
      <w:tr>
        <w:trPr>
          <w:trHeight w:val="177" w:hRule="atLeast"/>
          <w:cantSplit w:val="true"/>
        </w:trPr>
        <w:tc>
          <w:tcPr>
            <w:tcW w:w="83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1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3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Cs/>
                <w:sz w:val="17"/>
                <w:szCs w:val="17"/>
              </w:rPr>
              <w:t>всего</w:t>
            </w:r>
          </w:p>
        </w:tc>
        <w:tc>
          <w:tcPr>
            <w:tcW w:w="83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cs="Arial"/>
                <w:bCs/>
                <w:sz w:val="17"/>
                <w:szCs w:val="17"/>
              </w:rPr>
              <w:t>дети социально благополучной категории</w:t>
            </w:r>
          </w:p>
        </w:tc>
        <w:tc>
          <w:tcPr>
            <w:tcW w:w="84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jc w:val="both"/>
              <w:rPr/>
            </w:pPr>
            <w:r>
              <w:rPr>
                <w:rFonts w:cs="Arial"/>
                <w:bCs/>
                <w:sz w:val="17"/>
                <w:szCs w:val="17"/>
              </w:rPr>
              <w:t>Дети, находящиеся в трудной жизненной ситуации</w:t>
            </w:r>
          </w:p>
        </w:tc>
        <w:tc>
          <w:tcPr>
            <w:tcW w:w="548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Cs/>
                <w:sz w:val="17"/>
                <w:szCs w:val="17"/>
              </w:rPr>
              <w:t>в том числе</w:t>
            </w:r>
          </w:p>
        </w:tc>
      </w:tr>
      <w:tr>
        <w:trPr>
          <w:trHeight w:val="2304" w:hRule="exact"/>
          <w:cantSplit w:val="true"/>
        </w:trPr>
        <w:tc>
          <w:tcPr>
            <w:tcW w:w="838" w:type="dxa"/>
            <w:vMerge w:val="continue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611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23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1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8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0" w:type="dxa"/>
            <w:vMerge w:val="continue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дети-сироты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дети, оставшиеся без попечения родителей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дети-инвалиды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 с ограниченными возможностями здоровья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дети, проживающие в малоимущих семьях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дети</w:t>
            </w:r>
          </w:p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из семей беженцев и вынужденных переселенцев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textDirection w:val="btLr"/>
            <w:vAlign w:val="center"/>
          </w:tcPr>
          <w:p>
            <w:pPr>
              <w:pStyle w:val="Normal"/>
              <w:ind w:left="113" w:right="113" w:hanging="0"/>
              <w:rPr/>
            </w:pPr>
            <w:r>
              <w:rPr>
                <w:rFonts w:cs="Arial"/>
                <w:bCs/>
                <w:sz w:val="17"/>
                <w:szCs w:val="17"/>
              </w:rPr>
              <w:t>подростки, состоящие на учете в КДН и ПДН</w:t>
            </w:r>
          </w:p>
        </w:tc>
      </w:tr>
      <w:tr>
        <w:trPr>
          <w:trHeight w:val="19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13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Численность детей (семей с детьми)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Отдых, оздоровление</w:t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Лагеря дневного пребывания, всего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32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2.1.1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образования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4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2.1.2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 xml:space="preserve">социального развития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1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2.1.3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молодежной политики и спорта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2.1.4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культуры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Санатории и реабилитационные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469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Санаторно-оздоровительные лагеря круглогодичного действия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469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2.4.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Загородные стационарные оздоровительные лагеря и центры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46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 xml:space="preserve">Палаточные лагеря (экологические, туристические, археологические, оборонно-спортивные и т. д.) </w:t>
            </w:r>
            <w:r>
              <w:rPr>
                <w:rFonts w:cs="Arial"/>
                <w:b/>
                <w:sz w:val="17"/>
                <w:szCs w:val="17"/>
              </w:rPr>
              <w:t>продолжительностью от 5 дней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2.6.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>Детские оздоровительные организации за пределами региона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2.7.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sz w:val="17"/>
                <w:szCs w:val="17"/>
              </w:rPr>
              <w:t xml:space="preserve">Площадки по месту жительства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2.8.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sz w:val="17"/>
                <w:szCs w:val="17"/>
              </w:rPr>
              <w:t>Многодневные походы и экспедиции продолжительностью до 5 дней (альтернативная самостоятельная форма занятости детей и подростков, не входящая в программы загородных лагерей, лагерей с дневным пребыванием и т. д.)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2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ind w:right="-108" w:hanging="0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2.9.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отдыху, оздоровлению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43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3.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 xml:space="preserve">Трудозанятость (занятость, не приносящая трудовой доход)   </w:t>
            </w:r>
          </w:p>
        </w:tc>
      </w:tr>
      <w:tr>
        <w:trPr>
          <w:trHeight w:val="503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3.1.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b/>
                <w:sz w:val="17"/>
                <w:szCs w:val="17"/>
              </w:rPr>
              <w:t xml:space="preserve">Трудозанятость (прохождение учебной и производственной практики (для учащихся НПО и СПО)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3.2.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sz w:val="17"/>
                <w:szCs w:val="17"/>
              </w:rPr>
              <w:t xml:space="preserve">Социально-значимая деятельность 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3.3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трудозанятости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</w:r>
          </w:p>
        </w:tc>
      </w:tr>
      <w:tr>
        <w:trPr>
          <w:trHeight w:val="407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</w:t>
            </w:r>
          </w:p>
        </w:tc>
        <w:tc>
          <w:tcPr>
            <w:tcW w:w="1429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Трудоустройство (занятость, приносящая трудовой доход)</w:t>
            </w:r>
          </w:p>
        </w:tc>
      </w:tr>
      <w:tr>
        <w:trPr>
          <w:trHeight w:val="259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4.1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b/>
                <w:sz w:val="17"/>
                <w:szCs w:val="17"/>
              </w:rPr>
              <w:t xml:space="preserve">Трудоустроены через Центр занятости       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392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sz w:val="17"/>
                <w:szCs w:val="17"/>
              </w:rPr>
            </w:pPr>
            <w:r>
              <w:rPr>
                <w:rFonts w:cs="Arial"/>
                <w:b/>
                <w:sz w:val="17"/>
                <w:szCs w:val="17"/>
              </w:rPr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b/>
                <w:sz w:val="17"/>
                <w:szCs w:val="17"/>
              </w:rPr>
              <w:t>в том числе с выплатой материальной поддержки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567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4.1.1.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/>
                <w:bCs/>
                <w:sz w:val="17"/>
                <w:szCs w:val="17"/>
              </w:rPr>
            </w:pPr>
            <w:r>
              <w:rPr>
                <w:rFonts w:cs="Arial"/>
                <w:b/>
                <w:bCs/>
                <w:sz w:val="17"/>
                <w:szCs w:val="17"/>
              </w:rPr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908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4.1.2.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567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4.2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b/>
                <w:sz w:val="17"/>
                <w:szCs w:val="17"/>
              </w:rPr>
              <w:t>Трудоустроены на предприятиях и учреждениях различных форм собственности (без участия ЦЗ)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483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4.2.1.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17"/>
                <w:szCs w:val="17"/>
              </w:rPr>
              <w:t>Трудоустроены на базе учреждений бюджетной сферы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843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sz w:val="17"/>
                <w:szCs w:val="17"/>
              </w:rPr>
              <w:t>4.2.2.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/>
                <w:sz w:val="17"/>
                <w:szCs w:val="17"/>
              </w:rPr>
              <w:t>Трудоустроены на базе предприятий, организаций всех форм собственности (за исключением предприятий бюджетной сферы)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240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4.3.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ВСЕГО по трудоустройству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  <w:tr>
        <w:trPr>
          <w:trHeight w:val="255" w:hRule="atLeast"/>
        </w:trPr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5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4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right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ИТОГО</w:t>
            </w:r>
          </w:p>
        </w:tc>
        <w:tc>
          <w:tcPr>
            <w:tcW w:w="6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/>
                <w:b/>
                <w:bCs/>
                <w:sz w:val="17"/>
                <w:szCs w:val="17"/>
              </w:rPr>
              <w:t>Х</w:t>
            </w:r>
          </w:p>
        </w:tc>
        <w:tc>
          <w:tcPr>
            <w:tcW w:w="1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7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6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63" w:type="dxa"/>
            </w:tcMar>
            <w:vAlign w:val="center"/>
          </w:tcPr>
          <w:p>
            <w:pPr>
              <w:pStyle w:val="Normal"/>
              <w:jc w:val="center"/>
              <w:rPr>
                <w:rFonts w:cs="Arial"/>
                <w:color w:val="FF0000"/>
                <w:sz w:val="17"/>
                <w:szCs w:val="17"/>
              </w:rPr>
            </w:pPr>
            <w:r>
              <w:rPr>
                <w:rFonts w:cs="Arial"/>
                <w:color w:val="FF0000"/>
                <w:sz w:val="17"/>
                <w:szCs w:val="17"/>
              </w:rPr>
            </w:r>
          </w:p>
        </w:tc>
      </w:tr>
    </w:tbl>
    <w:p>
      <w:pPr>
        <w:pStyle w:val="Normal"/>
        <w:jc w:val="both"/>
        <w:rPr>
          <w:rFonts w:cs="Arial"/>
          <w:color w:val="FF0000"/>
          <w:sz w:val="20"/>
        </w:rPr>
      </w:pPr>
      <w:r>
        <w:rPr>
          <w:rFonts w:cs="Arial"/>
          <w:color w:val="FF0000"/>
          <w:sz w:val="20"/>
        </w:rPr>
      </w:r>
    </w:p>
    <w:p>
      <w:pPr>
        <w:pStyle w:val="Normal"/>
        <w:jc w:val="both"/>
        <w:rPr/>
      </w:pPr>
      <w:r>
        <w:rPr>
          <w:rFonts w:cs="Arial"/>
          <w:b/>
          <w:bCs/>
          <w:color w:val="FF0000"/>
          <w:sz w:val="18"/>
          <w:szCs w:val="18"/>
        </w:rPr>
        <w:t xml:space="preserve">* </w:t>
      </w:r>
      <w:r>
        <w:rPr>
          <w:rFonts w:cs="Arial"/>
          <w:b/>
          <w:bCs/>
          <w:i/>
          <w:color w:val="FF0000"/>
          <w:sz w:val="18"/>
          <w:szCs w:val="18"/>
        </w:rPr>
        <w:t xml:space="preserve">Отчет составлять в пределах своей компетенции и направлять для свода в территориальные управления социальной защиты </w:t>
      </w:r>
      <w:r>
        <w:rPr>
          <w:rFonts w:cs="Arial"/>
          <w:b/>
          <w:bCs/>
          <w:i/>
          <w:sz w:val="18"/>
          <w:szCs w:val="18"/>
        </w:rPr>
        <w:t>населения с нарастающим итогом ежеквартально в срок до 5 числа месяца, следующего за отчетным периодом, в летний период ежемесячно в срок до 5 числа месяца, следующего за отчетным периодом.</w:t>
      </w:r>
    </w:p>
    <w:p>
      <w:pPr>
        <w:pStyle w:val="Normal"/>
        <w:rPr/>
      </w:pPr>
      <w:r>
        <w:rPr>
          <w:rFonts w:cs="Arial"/>
          <w:sz w:val="28"/>
          <w:szCs w:val="28"/>
        </w:rPr>
        <w:t xml:space="preserve">    </w:t>
      </w:r>
    </w:p>
    <w:p>
      <w:pPr>
        <w:pStyle w:val="Normal"/>
        <w:tabs>
          <w:tab w:val="left" w:pos="6540" w:leader="none"/>
          <w:tab w:val="left" w:pos="7700" w:leader="none"/>
          <w:tab w:val="right" w:pos="9616" w:leader="none"/>
        </w:tabs>
        <w:rPr>
          <w:rFonts w:cs="Arial"/>
          <w:b/>
          <w:b/>
          <w:sz w:val="26"/>
          <w:szCs w:val="26"/>
        </w:rPr>
      </w:pPr>
      <w:r>
        <w:rPr>
          <w:rFonts w:cs="Arial"/>
          <w:b/>
          <w:sz w:val="26"/>
          <w:szCs w:val="26"/>
        </w:rPr>
      </w:r>
    </w:p>
    <w:p>
      <w:pPr>
        <w:pStyle w:val="Normal"/>
        <w:rPr/>
      </w:pPr>
      <w:r>
        <w:rPr/>
      </w:r>
    </w:p>
    <w:sectPr>
      <w:headerReference w:type="default" r:id="rId13"/>
      <w:footerReference w:type="default" r:id="rId14"/>
      <w:footerReference w:type="first" r:id="rId15"/>
      <w:type w:val="nextPage"/>
      <w:pgSz w:orient="landscape" w:w="16838" w:h="11906"/>
      <w:pgMar w:left="1134" w:right="567" w:header="397" w:top="1134" w:footer="397" w:bottom="567" w:gutter="0"/>
      <w:pgNumType w:start="1"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rFonts w:ascii="Times New Roman" w:hAnsi="Times New Roman"/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>
        <w:sz w:val="16"/>
        <w:szCs w:val="16"/>
      </w:rPr>
      <w:fldChar w:fldCharType="begin"/>
    </w:r>
    <w:r>
      <w:instrText> FILENAME </w:instrText>
    </w:r>
    <w:r>
      <w:fldChar w:fldCharType="separate"/>
    </w:r>
    <w:r>
      <w:t>ПР-0060_17_ ДСР - Об организации оздоровительной кампании 2017 г. (22428355 v6).DOCX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558575388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22</w:t>
        </w:r>
        <w: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67843563"/>
    </w:sdtPr>
    <w:sdtContent>
      <w:p>
        <w:pPr>
          <w:pStyle w:val="Style23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2</w:t>
        </w:r>
        <w:r>
          <w:fldChar w:fldCharType="end"/>
        </w:r>
      </w:p>
      <w:p>
        <w:pPr>
          <w:pStyle w:val="Style23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50"/>
  <w:embedSystemFonts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index heading" w:qFormat="1"/>
    <w:lsdException w:name="caption" w:semiHidden="1" w:unhideWhenUsed="1" w:qFormat="1"/>
    <w:lsdException w:name="page number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Arial" w:hAnsi="Arial" w:eastAsia="Times New Roman" w:cs="Times New Roman"/>
      <w:color w:val="auto"/>
      <w:sz w:val="24"/>
      <w:szCs w:val="24"/>
      <w:lang w:val="ru-RU" w:eastAsia="ru-RU" w:bidi="ar-SA"/>
    </w:rPr>
  </w:style>
  <w:style w:type="paragraph" w:styleId="1">
    <w:name w:val="Heading 1"/>
    <w:basedOn w:val="Normal"/>
    <w:link w:val="10"/>
    <w:qFormat/>
    <w:rsid w:val="000228c9"/>
    <w:pPr>
      <w:keepNext/>
      <w:spacing w:lineRule="auto" w:line="288"/>
      <w:jc w:val="center"/>
      <w:outlineLvl w:val="0"/>
    </w:pPr>
    <w:rPr>
      <w:rFonts w:ascii="Times New Roman" w:hAnsi="Times New Roman"/>
      <w:b/>
      <w:sz w:val="38"/>
      <w:szCs w:val="20"/>
    </w:rPr>
  </w:style>
  <w:style w:type="paragraph" w:styleId="2">
    <w:name w:val="Heading 2"/>
    <w:basedOn w:val="Normal"/>
    <w:link w:val="20"/>
    <w:qFormat/>
    <w:rsid w:val="000228c9"/>
    <w:pPr>
      <w:keepNext/>
      <w:jc w:val="center"/>
      <w:outlineLvl w:val="1"/>
    </w:pPr>
    <w:rPr>
      <w:rFonts w:ascii="Times New Roman" w:hAnsi="Times New Roman"/>
      <w:b/>
      <w:sz w:val="4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0228c9"/>
    <w:rPr>
      <w:b/>
      <w:sz w:val="38"/>
    </w:rPr>
  </w:style>
  <w:style w:type="character" w:styleId="21" w:customStyle="1">
    <w:name w:val="Заголовок 2 Знак"/>
    <w:basedOn w:val="DefaultParagraphFont"/>
    <w:link w:val="2"/>
    <w:qFormat/>
    <w:rsid w:val="000228c9"/>
    <w:rPr>
      <w:b/>
      <w:sz w:val="40"/>
    </w:rPr>
  </w:style>
  <w:style w:type="character" w:styleId="Style12" w:customStyle="1">
    <w:name w:val="Основной текст Знак"/>
    <w:basedOn w:val="DefaultParagraphFont"/>
    <w:link w:val="a8"/>
    <w:qFormat/>
    <w:rsid w:val="000228c9"/>
    <w:rPr>
      <w:rFonts w:ascii="Calibri" w:hAnsi="Calibri" w:eastAsia="Calibri" w:cs="Tahoma"/>
      <w:color w:val="00000A"/>
      <w:sz w:val="22"/>
      <w:szCs w:val="22"/>
      <w:lang w:eastAsia="en-US"/>
    </w:rPr>
  </w:style>
  <w:style w:type="character" w:styleId="Style13" w:customStyle="1">
    <w:name w:val="Текст выноски Знак"/>
    <w:basedOn w:val="DefaultParagraphFont"/>
    <w:link w:val="aa"/>
    <w:qFormat/>
    <w:rsid w:val="000228c9"/>
    <w:rPr>
      <w:rFonts w:ascii="Tahoma" w:hAnsi="Tahoma" w:eastAsia="Calibri" w:cs="Tahoma"/>
      <w:color w:val="00000A"/>
      <w:sz w:val="16"/>
      <w:szCs w:val="16"/>
      <w:lang w:eastAsia="en-US"/>
    </w:rPr>
  </w:style>
  <w:style w:type="character" w:styleId="Style14" w:customStyle="1">
    <w:name w:val="Интернет-ссылка"/>
    <w:rsid w:val="000228c9"/>
    <w:rPr>
      <w:color w:val="000080"/>
      <w:u w:val="single"/>
    </w:rPr>
  </w:style>
  <w:style w:type="character" w:styleId="Style15" w:customStyle="1">
    <w:name w:val="Выделение жирным"/>
    <w:qFormat/>
    <w:rsid w:val="000228c9"/>
    <w:rPr>
      <w:b/>
      <w:bCs/>
    </w:rPr>
  </w:style>
  <w:style w:type="character" w:styleId="Style16" w:customStyle="1">
    <w:name w:val="Верхний колонтитул Знак"/>
    <w:basedOn w:val="DefaultParagraphFont"/>
    <w:link w:val="a3"/>
    <w:uiPriority w:val="99"/>
    <w:qFormat/>
    <w:rsid w:val="007d79ae"/>
    <w:rPr>
      <w:rFonts w:ascii="Arial" w:hAnsi="Arial"/>
      <w:sz w:val="24"/>
      <w:szCs w:val="24"/>
    </w:rPr>
  </w:style>
  <w:style w:type="character" w:styleId="Style17" w:customStyle="1">
    <w:name w:val="Нижний колонтитул Знак"/>
    <w:basedOn w:val="DefaultParagraphFont"/>
    <w:link w:val="a5"/>
    <w:uiPriority w:val="99"/>
    <w:qFormat/>
    <w:rsid w:val="001769f0"/>
    <w:rPr>
      <w:rFonts w:ascii="Arial" w:hAnsi="Arial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7"/>
    <w:rsid w:val="000228c9"/>
    <w:pPr>
      <w:spacing w:lineRule="auto" w:line="288" w:before="0" w:after="140"/>
    </w:pPr>
    <w:rPr>
      <w:rFonts w:ascii="Calibri" w:hAnsi="Calibri" w:eastAsia="Calibri" w:cs="Tahoma"/>
      <w:color w:val="00000A"/>
      <w:sz w:val="22"/>
      <w:szCs w:val="22"/>
      <w:lang w:eastAsia="en-US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Style23">
    <w:name w:val="Header"/>
    <w:basedOn w:val="Normal"/>
    <w:link w:val="a4"/>
    <w:uiPriority w:val="99"/>
    <w:pPr>
      <w:tabs>
        <w:tab w:val="center" w:pos="4153" w:leader="none"/>
        <w:tab w:val="right" w:pos="8306" w:leader="none"/>
      </w:tabs>
    </w:pPr>
    <w:rPr/>
  </w:style>
  <w:style w:type="paragraph" w:styleId="Style24">
    <w:name w:val="Footer"/>
    <w:basedOn w:val="Normal"/>
    <w:link w:val="a6"/>
    <w:uiPriority w:val="99"/>
    <w:pPr>
      <w:tabs>
        <w:tab w:val="center" w:pos="4153" w:leader="none"/>
        <w:tab w:val="right" w:pos="8306" w:leader="none"/>
      </w:tabs>
    </w:pPr>
    <w:rPr/>
  </w:style>
  <w:style w:type="paragraph" w:styleId="Index1">
    <w:name w:val="index 1"/>
    <w:basedOn w:val="Normal"/>
    <w:autoRedefine/>
    <w:qFormat/>
    <w:rsid w:val="000228c9"/>
    <w:pPr>
      <w:ind w:left="240" w:hanging="240"/>
    </w:pPr>
    <w:rPr/>
  </w:style>
  <w:style w:type="paragraph" w:styleId="BalloonText">
    <w:name w:val="Balloon Text"/>
    <w:basedOn w:val="Normal"/>
    <w:link w:val="a9"/>
    <w:qFormat/>
    <w:rsid w:val="000228c9"/>
    <w:pPr/>
    <w:rPr>
      <w:rFonts w:ascii="Tahoma" w:hAnsi="Tahoma" w:eastAsia="Calibri" w:cs="Tahoma"/>
      <w:color w:val="00000A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leto@72to.ru" TargetMode="External"/><Relationship Id="rId3" Type="http://schemas.openxmlformats.org/officeDocument/2006/relationships/hyperlink" Target="mailto:leto@72to.ru" TargetMode="External"/><Relationship Id="rId4" Type="http://schemas.openxmlformats.org/officeDocument/2006/relationships/hyperlink" Target="mailto:leto@72to.ru" TargetMode="External"/><Relationship Id="rId5" Type="http://schemas.openxmlformats.org/officeDocument/2006/relationships/hyperlink" Target="mailto:leto@72to.ru" TargetMode="External"/><Relationship Id="rId6" Type="http://schemas.openxmlformats.org/officeDocument/2006/relationships/hyperlink" Target="mailto:leto@72to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eader" Target="header2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Application>LibreOffice/5.2.3.3$Windows_X86_64 LibreOffice_project/d54a8868f08a7b39642414cf2c8ef2f228f780cf</Application>
  <Pages>28</Pages>
  <Words>6883</Words>
  <Characters>53415</Characters>
  <CharactersWithSpaces>60195</CharactersWithSpaces>
  <Paragraphs>510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2017-01-31T10:37:00Z</dcterms:created>
  <dc:creator>Желтова Юлия Маратовна</dc:creator>
  <dc:description/>
  <dc:language>ru-RU</dc:language>
  <cp:lastModifiedBy/>
  <cp:lastPrinted>2017-02-01T09:07:00Z</cp:lastPrinted>
  <dcterms:modified xsi:type="dcterms:W3CDTF">2017-02-08T12:33:48Z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