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4B" w:rsidRDefault="005C5907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bookmarkStart w:id="0" w:name="_GoBack"/>
      <w:r w:rsidRPr="005C5907"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6791953" cy="9713582"/>
            <wp:effectExtent l="6033" t="0" r="0" b="0"/>
            <wp:docPr id="1" name="Рисунок 1" descr="C:\Users\euroset\Desktop\титульник родной русский 10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 родной русский 10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97161" cy="972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1) совершенствование видов речевой деятельности (</w:t>
      </w:r>
      <w:proofErr w:type="spellStart"/>
      <w:r w:rsidRPr="00FF443A">
        <w:rPr>
          <w:rFonts w:eastAsia="Calibri"/>
          <w:sz w:val="24"/>
          <w:szCs w:val="24"/>
          <w:lang w:val="ru-RU" w:eastAsia="en-US"/>
        </w:rPr>
        <w:t>аудирования</w:t>
      </w:r>
      <w:proofErr w:type="spellEnd"/>
      <w:r w:rsidRPr="00FF443A">
        <w:rPr>
          <w:rFonts w:eastAsia="Calibri"/>
          <w:sz w:val="24"/>
          <w:szCs w:val="24"/>
          <w:lang w:val="ru-RU" w:eastAsia="en-US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3) использование коммуникативно-эстетических возможностей родного языка;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40255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8) формирование ответственности за языковую культуру как общечеловеческую ценность.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3F044B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F443A" w:rsidRPr="003F044B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lastRenderedPageBreak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</w:t>
      </w:r>
      <w:proofErr w:type="gramStart"/>
      <w:r w:rsidRPr="009F2389">
        <w:rPr>
          <w:sz w:val="24"/>
          <w:szCs w:val="24"/>
          <w:lang w:val="ru-RU" w:eastAsia="en-US"/>
        </w:rPr>
        <w:t>форме;•</w:t>
      </w:r>
      <w:proofErr w:type="gramEnd"/>
      <w:r w:rsidRPr="009F2389">
        <w:rPr>
          <w:sz w:val="24"/>
          <w:szCs w:val="24"/>
          <w:lang w:val="ru-RU" w:eastAsia="en-US"/>
        </w:rPr>
        <w:t xml:space="preserve"> </w:t>
      </w:r>
    </w:p>
    <w:p w:rsidR="00FF443A" w:rsidRPr="003F044B" w:rsidRDefault="00FF443A" w:rsidP="00FF443A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F443A" w:rsidRPr="00FF443A" w:rsidRDefault="00FF443A" w:rsidP="00FF443A">
      <w:pPr>
        <w:spacing w:after="34" w:line="266" w:lineRule="auto"/>
        <w:rPr>
          <w:b/>
          <w:sz w:val="26"/>
          <w:szCs w:val="26"/>
          <w:lang w:val="ru-RU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Язык и культура (12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="00B37FAD" w:rsidRPr="00B37FAD">
        <w:rPr>
          <w:rFonts w:eastAsiaTheme="minorHAnsi"/>
          <w:sz w:val="24"/>
          <w:szCs w:val="24"/>
          <w:lang w:val="ru-RU" w:eastAsia="en-US"/>
        </w:rPr>
        <w:t>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>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FF443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Культура речи (12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благодаря,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9F2389">
        <w:rPr>
          <w:rFonts w:eastAsiaTheme="minorHAnsi"/>
          <w:sz w:val="24"/>
          <w:szCs w:val="24"/>
          <w:lang w:val="ru-RU" w:eastAsia="en-US"/>
        </w:rPr>
        <w:t xml:space="preserve"> </w:t>
      </w:r>
      <w:r w:rsidRPr="00B37FAD">
        <w:rPr>
          <w:rFonts w:eastAsiaTheme="minorHAnsi"/>
          <w:sz w:val="24"/>
          <w:szCs w:val="24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(10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</w:p>
    <w:p w:rsidR="00FF443A" w:rsidRDefault="00FF443A" w:rsidP="00FF443A">
      <w:pPr>
        <w:spacing w:line="276" w:lineRule="auto"/>
        <w:rPr>
          <w:rFonts w:eastAsiaTheme="minorHAns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 xml:space="preserve">                                                                 </w:t>
      </w:r>
      <w:r w:rsidRPr="00FF443A">
        <w:rPr>
          <w:rFonts w:eastAsiaTheme="minorHAnsi"/>
          <w:sz w:val="24"/>
          <w:szCs w:val="24"/>
          <w:lang w:val="ru-RU" w:eastAsia="en-US"/>
        </w:rPr>
        <w:t xml:space="preserve">Примерные темы проектных и исследовательских работ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  <w:sectPr w:rsidR="00FF443A" w:rsidSect="004F55FF">
          <w:pgSz w:w="16838" w:h="11906" w:orient="landscape"/>
          <w:pgMar w:top="851" w:right="851" w:bottom="850" w:left="851" w:header="709" w:footer="709" w:gutter="0"/>
          <w:cols w:space="708"/>
          <w:docGrid w:linePitch="490"/>
        </w:sectPr>
      </w:pP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Простор как одна из главных ценностей в русской языковой картине мира.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Образ человека в языке: слова-концепты дух и душа.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этимологии фразеологизмов.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истории русских имён.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Русские пословицы и поговорки о гостеприимстве и хлебосольстве. 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О происхождении фразеологизмов. Источники фразеологизмов.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Календарь пословиц о временах года; карта «Интересные названия городов моего края/России».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Лексическая группа существительных, обозначающих понятие время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Мы живем в мире знаков.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Роль и уместность заимствований в современном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Понимаем ли мы язык Пушкина?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Этимология обозначений имен числительных в русском языке.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Футбольный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Компьютерный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Названия денежных единиц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Интернет-сленг.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Этикетные формы обращения.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быть вежливым?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Являются ли жесты универсальным языком человечества?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назвать новорождённого?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Межнациональные различия невербального общения.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Искусство комплимента в русском и иностранных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Формы выражения вежливости (на примере иностранного и русского языков).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 приветствия в русском и иностранном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типов заголовков в современных СМИ, видов интервью в современных СМИ.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Сетевой знак @ в разных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Слоганы в языке современной рекламы.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Девизы и слоганы любимых спортивных команд.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Синонимический ряд: врач – доктор – лекарь – эскулап – целитель – врачеватель.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Что общего и в чём различие.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Язык и юмор.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примеров языковой игры в шутках и анекдотах.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Подготовка сборника «бывальщин», альманаха рассказов, сборника стилизаций, разработка личной странички для школьного портала и др.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FF443A" w:rsidRDefault="00FF443A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  <w:sectPr w:rsidR="00FF443A" w:rsidSect="00FF443A">
          <w:type w:val="continuous"/>
          <w:pgSz w:w="16838" w:h="11906" w:orient="landscape"/>
          <w:pgMar w:top="851" w:right="851" w:bottom="850" w:left="851" w:header="709" w:footer="709" w:gutter="0"/>
          <w:cols w:num="2" w:space="708"/>
          <w:docGrid w:linePitch="490"/>
        </w:sectPr>
      </w:pP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184DE1" w:rsidRPr="009F2389" w:rsidRDefault="00184DE1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</w:p>
    <w:p w:rsidR="00FF443A" w:rsidRPr="00956119" w:rsidRDefault="00FF443A" w:rsidP="00FF443A">
      <w:pPr>
        <w:spacing w:after="130" w:line="259" w:lineRule="auto"/>
        <w:rPr>
          <w:b/>
          <w:lang w:val="ru-RU"/>
        </w:rPr>
      </w:pPr>
    </w:p>
    <w:p w:rsidR="00FF443A" w:rsidRDefault="00FF443A" w:rsidP="00FF443A">
      <w:pPr>
        <w:pStyle w:val="1"/>
        <w:numPr>
          <w:ilvl w:val="0"/>
          <w:numId w:val="37"/>
        </w:numPr>
        <w:ind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8223"/>
        <w:gridCol w:w="3261"/>
        <w:gridCol w:w="2693"/>
      </w:tblGrid>
      <w:tr w:rsidR="00FF443A" w:rsidRPr="005C5907" w:rsidTr="00FF443A">
        <w:trPr>
          <w:trHeight w:val="840"/>
        </w:trPr>
        <w:tc>
          <w:tcPr>
            <w:tcW w:w="957" w:type="dxa"/>
          </w:tcPr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9F2389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9F2389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8223" w:type="dxa"/>
          </w:tcPr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9F2389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5954" w:type="dxa"/>
            <w:gridSpan w:val="2"/>
          </w:tcPr>
          <w:p w:rsidR="00FF443A" w:rsidRPr="00FF443A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FF443A">
              <w:rPr>
                <w:rFonts w:eastAsia="Andale Sans UI"/>
                <w:b/>
                <w:kern w:val="1"/>
                <w:sz w:val="26"/>
                <w:szCs w:val="26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9F2389" w:rsidTr="00FF443A">
        <w:trPr>
          <w:trHeight w:val="277"/>
        </w:trPr>
        <w:tc>
          <w:tcPr>
            <w:tcW w:w="15134" w:type="dxa"/>
            <w:gridSpan w:val="4"/>
          </w:tcPr>
          <w:p w:rsidR="00FF62CE" w:rsidRPr="009F2389" w:rsidRDefault="00FF62CE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rFonts w:eastAsiaTheme="minorHAnsi"/>
                <w:b/>
                <w:sz w:val="24"/>
                <w:szCs w:val="24"/>
                <w:lang w:val="ru-RU" w:eastAsia="en-US"/>
              </w:rPr>
              <w:t>Язык и культура (12 ч)</w:t>
            </w: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 происхождении фразеологизмов. Источники фразеологизмов.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FF62CE" w:rsidRPr="004F55FF" w:rsidTr="00FF443A">
        <w:trPr>
          <w:trHeight w:val="277"/>
        </w:trPr>
        <w:tc>
          <w:tcPr>
            <w:tcW w:w="957" w:type="dxa"/>
          </w:tcPr>
          <w:p w:rsidR="00FF62CE" w:rsidRPr="009F2389" w:rsidRDefault="00FF62CE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FF62CE" w:rsidRPr="009F2389" w:rsidRDefault="00FF62CE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3261" w:type="dxa"/>
          </w:tcPr>
          <w:p w:rsidR="00FF62CE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FF62CE" w:rsidRPr="009F2389" w:rsidRDefault="00FF62CE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4C7374" w:rsidRPr="004F55FF" w:rsidTr="00FF443A">
        <w:trPr>
          <w:trHeight w:val="277"/>
        </w:trPr>
        <w:tc>
          <w:tcPr>
            <w:tcW w:w="957" w:type="dxa"/>
          </w:tcPr>
          <w:p w:rsidR="004C7374" w:rsidRPr="009F2389" w:rsidRDefault="004C7374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C7374" w:rsidRPr="009F2389" w:rsidRDefault="004C7374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</w:t>
            </w:r>
            <w:r w:rsidR="00054792" w:rsidRPr="009F2389">
              <w:rPr>
                <w:sz w:val="24"/>
                <w:szCs w:val="24"/>
                <w:lang w:val="ru-RU"/>
              </w:rPr>
              <w:t xml:space="preserve">. Представление </w:t>
            </w:r>
            <w:r w:rsidRPr="009F2389">
              <w:rPr>
                <w:sz w:val="24"/>
                <w:szCs w:val="24"/>
                <w:lang w:val="ru-RU"/>
              </w:rPr>
              <w:t>проектов, результатов</w:t>
            </w:r>
            <w:r w:rsidR="00054792" w:rsidRPr="009F2389">
              <w:rPr>
                <w:sz w:val="24"/>
                <w:szCs w:val="24"/>
                <w:lang w:val="ru-RU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исследовательской работы.</w:t>
            </w:r>
          </w:p>
        </w:tc>
        <w:tc>
          <w:tcPr>
            <w:tcW w:w="3261" w:type="dxa"/>
          </w:tcPr>
          <w:p w:rsidR="004C7374" w:rsidRPr="009F2389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 1 ч</w:t>
            </w:r>
          </w:p>
        </w:tc>
        <w:tc>
          <w:tcPr>
            <w:tcW w:w="2693" w:type="dxa"/>
          </w:tcPr>
          <w:p w:rsidR="004C7374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9F2389" w:rsidRPr="009F2389" w:rsidTr="00FF443A">
        <w:trPr>
          <w:trHeight w:val="277"/>
        </w:trPr>
        <w:tc>
          <w:tcPr>
            <w:tcW w:w="15134" w:type="dxa"/>
            <w:gridSpan w:val="4"/>
          </w:tcPr>
          <w:p w:rsidR="00486F69" w:rsidRPr="009F2389" w:rsidRDefault="00486F69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Культура речи (12 ч)</w:t>
            </w: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486F69" w:rsidRPr="009F2389" w:rsidRDefault="00486F69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86F69" w:rsidRPr="009F2389" w:rsidRDefault="00486F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486F69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486F69" w:rsidRPr="009F2389" w:rsidRDefault="00486F69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486F69" w:rsidRPr="009F2389" w:rsidRDefault="00486F69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86F69" w:rsidRPr="009F2389" w:rsidRDefault="00486F69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3261" w:type="dxa"/>
          </w:tcPr>
          <w:p w:rsidR="00486F69" w:rsidRPr="00FF443A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486F69" w:rsidRPr="009F2389" w:rsidRDefault="00486F69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Типичные ошибки‚ связанные с нарушением лексической сочетаемости.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Речевая избыточность и точность. Тавтология. Плеоназм.</w:t>
            </w:r>
            <w:r w:rsidRPr="009F2389">
              <w:rPr>
                <w:sz w:val="24"/>
                <w:szCs w:val="24"/>
              </w:rPr>
              <w:t xml:space="preserve"> </w:t>
            </w:r>
            <w:r w:rsidRPr="009F2389">
              <w:rPr>
                <w:sz w:val="24"/>
                <w:szCs w:val="24"/>
                <w:lang w:val="ru-RU"/>
              </w:rPr>
              <w:t>Современные толковые словари.</w:t>
            </w:r>
          </w:p>
        </w:tc>
        <w:tc>
          <w:tcPr>
            <w:tcW w:w="3261" w:type="dxa"/>
          </w:tcPr>
          <w:p w:rsidR="00B05498" w:rsidRPr="00FF443A" w:rsidRDefault="00FF443A" w:rsidP="0071235B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3261" w:type="dxa"/>
          </w:tcPr>
          <w:p w:rsidR="00B05498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 ч</w:t>
            </w:r>
          </w:p>
        </w:tc>
        <w:tc>
          <w:tcPr>
            <w:tcW w:w="2693" w:type="dxa"/>
          </w:tcPr>
          <w:p w:rsidR="00054792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bCs/>
                <w:sz w:val="24"/>
                <w:szCs w:val="24"/>
                <w:lang w:val="ru-RU"/>
              </w:rPr>
              <w:t>п/р</w:t>
            </w:r>
          </w:p>
        </w:tc>
      </w:tr>
      <w:tr w:rsidR="009F2389" w:rsidRPr="005C5907" w:rsidTr="00FF443A">
        <w:trPr>
          <w:trHeight w:val="277"/>
        </w:trPr>
        <w:tc>
          <w:tcPr>
            <w:tcW w:w="15134" w:type="dxa"/>
            <w:gridSpan w:val="4"/>
          </w:tcPr>
          <w:p w:rsidR="00B05498" w:rsidRPr="009F2389" w:rsidRDefault="00B05498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9F2389">
              <w:rPr>
                <w:b/>
                <w:sz w:val="24"/>
                <w:szCs w:val="24"/>
                <w:lang w:val="ru-RU"/>
              </w:rPr>
              <w:t>Речь. Речевая деятельность. Текст (10 ч)</w:t>
            </w: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9F2389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B05498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B05498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9F2389" w:rsidRPr="004F55FF" w:rsidTr="00FF443A">
        <w:trPr>
          <w:trHeight w:val="277"/>
        </w:trPr>
        <w:tc>
          <w:tcPr>
            <w:tcW w:w="957" w:type="dxa"/>
          </w:tcPr>
          <w:p w:rsidR="00B05498" w:rsidRPr="009F2389" w:rsidRDefault="00B05498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B05498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Учебно-научный стиль. Доклад, сообщение.</w:t>
            </w:r>
          </w:p>
        </w:tc>
        <w:tc>
          <w:tcPr>
            <w:tcW w:w="3261" w:type="dxa"/>
          </w:tcPr>
          <w:p w:rsidR="00B05498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B05498" w:rsidRPr="009F2389" w:rsidRDefault="00B05498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4C7374" w:rsidRPr="004F55FF" w:rsidTr="00FF443A">
        <w:trPr>
          <w:trHeight w:val="277"/>
        </w:trPr>
        <w:tc>
          <w:tcPr>
            <w:tcW w:w="957" w:type="dxa"/>
          </w:tcPr>
          <w:p w:rsidR="004C7374" w:rsidRPr="009F2389" w:rsidRDefault="004C7374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4C7374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3261" w:type="dxa"/>
          </w:tcPr>
          <w:p w:rsidR="004C7374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4C7374" w:rsidRPr="009F2389" w:rsidRDefault="00FF443A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к/р</w:t>
            </w:r>
          </w:p>
        </w:tc>
      </w:tr>
      <w:tr w:rsidR="00054792" w:rsidRPr="009F2389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3261" w:type="dxa"/>
          </w:tcPr>
          <w:p w:rsidR="00054792" w:rsidRPr="009F2389" w:rsidRDefault="00FF443A" w:rsidP="0071235B">
            <w:pPr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54792" w:rsidRPr="004F55FF" w:rsidTr="00FF443A">
        <w:trPr>
          <w:trHeight w:val="277"/>
        </w:trPr>
        <w:tc>
          <w:tcPr>
            <w:tcW w:w="957" w:type="dxa"/>
          </w:tcPr>
          <w:p w:rsidR="00054792" w:rsidRPr="009F2389" w:rsidRDefault="00054792" w:rsidP="0071235B">
            <w:pPr>
              <w:numPr>
                <w:ilvl w:val="0"/>
                <w:numId w:val="11"/>
              </w:numPr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8223" w:type="dxa"/>
          </w:tcPr>
          <w:p w:rsidR="00054792" w:rsidRPr="009F2389" w:rsidRDefault="00054792" w:rsidP="0071235B">
            <w:pPr>
              <w:rPr>
                <w:sz w:val="24"/>
                <w:szCs w:val="24"/>
                <w:lang w:val="ru-RU"/>
              </w:rPr>
            </w:pPr>
            <w:r w:rsidRPr="009F2389">
              <w:rPr>
                <w:sz w:val="24"/>
                <w:szCs w:val="24"/>
                <w:lang w:val="ru-RU"/>
              </w:rPr>
              <w:t xml:space="preserve">Текст и </w:t>
            </w:r>
            <w:proofErr w:type="spellStart"/>
            <w:r w:rsidRPr="009F2389">
              <w:rPr>
                <w:sz w:val="24"/>
                <w:szCs w:val="24"/>
                <w:lang w:val="ru-RU"/>
              </w:rPr>
              <w:t>интертекст</w:t>
            </w:r>
            <w:proofErr w:type="spellEnd"/>
            <w:r w:rsidRPr="009F2389">
              <w:rPr>
                <w:sz w:val="24"/>
                <w:szCs w:val="24"/>
                <w:lang w:val="ru-RU"/>
              </w:rPr>
              <w:t>. Афоризмы. Прецедентные тексты.</w:t>
            </w:r>
          </w:p>
        </w:tc>
        <w:tc>
          <w:tcPr>
            <w:tcW w:w="3261" w:type="dxa"/>
          </w:tcPr>
          <w:p w:rsidR="00054792" w:rsidRPr="004F55FF" w:rsidRDefault="00FF443A" w:rsidP="0071235B">
            <w:pPr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054792" w:rsidRPr="009F2389" w:rsidRDefault="00054792" w:rsidP="0071235B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 w15:restartNumberingAfterBreak="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9" w15:restartNumberingAfterBreak="0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17"/>
  </w:num>
  <w:num w:numId="4">
    <w:abstractNumId w:val="3"/>
  </w:num>
  <w:num w:numId="5">
    <w:abstractNumId w:val="21"/>
  </w:num>
  <w:num w:numId="6">
    <w:abstractNumId w:val="24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33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5"/>
  </w:num>
  <w:num w:numId="20">
    <w:abstractNumId w:val="27"/>
  </w:num>
  <w:num w:numId="21">
    <w:abstractNumId w:val="18"/>
  </w:num>
  <w:num w:numId="22">
    <w:abstractNumId w:val="16"/>
  </w:num>
  <w:num w:numId="23">
    <w:abstractNumId w:val="2"/>
  </w:num>
  <w:num w:numId="24">
    <w:abstractNumId w:val="32"/>
  </w:num>
  <w:num w:numId="25">
    <w:abstractNumId w:val="7"/>
  </w:num>
  <w:num w:numId="26">
    <w:abstractNumId w:val="6"/>
  </w:num>
  <w:num w:numId="27">
    <w:abstractNumId w:val="22"/>
  </w:num>
  <w:num w:numId="28">
    <w:abstractNumId w:val="1"/>
  </w:num>
  <w:num w:numId="29">
    <w:abstractNumId w:val="5"/>
  </w:num>
  <w:num w:numId="30">
    <w:abstractNumId w:val="10"/>
  </w:num>
  <w:num w:numId="31">
    <w:abstractNumId w:val="34"/>
  </w:num>
  <w:num w:numId="32">
    <w:abstractNumId w:val="26"/>
  </w:num>
  <w:num w:numId="33">
    <w:abstractNumId w:val="23"/>
  </w:num>
  <w:num w:numId="34">
    <w:abstractNumId w:val="31"/>
  </w:num>
  <w:num w:numId="35">
    <w:abstractNumId w:val="20"/>
  </w:num>
  <w:num w:numId="36">
    <w:abstractNumId w:val="2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C5907"/>
    <w:rsid w:val="005E6811"/>
    <w:rsid w:val="00620B59"/>
    <w:rsid w:val="0063585C"/>
    <w:rsid w:val="00640255"/>
    <w:rsid w:val="006867F3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C6CFB"/>
    <w:rsid w:val="007D377A"/>
    <w:rsid w:val="008166D1"/>
    <w:rsid w:val="00823204"/>
    <w:rsid w:val="008E08B0"/>
    <w:rsid w:val="00953707"/>
    <w:rsid w:val="00956119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CF734B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A5CB1"/>
    <w:rsid w:val="00EB7692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69B57"/>
  <w15:docId w15:val="{EF2D252D-8998-4247-90AE-8092EFAD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1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юрий данилов</cp:lastModifiedBy>
  <cp:revision>5</cp:revision>
  <cp:lastPrinted>2017-09-14T19:17:00Z</cp:lastPrinted>
  <dcterms:created xsi:type="dcterms:W3CDTF">2016-09-22T15:02:00Z</dcterms:created>
  <dcterms:modified xsi:type="dcterms:W3CDTF">2020-11-26T13:37:00Z</dcterms:modified>
</cp:coreProperties>
</file>