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46FCD">
        <w:rPr>
          <w:rFonts w:ascii="Times New Roman" w:eastAsia="Times New Roman" w:hAnsi="Times New Roman" w:cs="Times New Roman"/>
          <w:b/>
          <w:bCs/>
          <w:lang w:eastAsia="ru-RU"/>
        </w:rPr>
        <w:t>Результаты  государственной итоговой аттестации  в форме ОГЭ</w:t>
      </w: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46FCD">
        <w:rPr>
          <w:rFonts w:ascii="Times New Roman" w:eastAsia="Times New Roman" w:hAnsi="Times New Roman" w:cs="Times New Roman"/>
          <w:b/>
          <w:bCs/>
          <w:lang w:eastAsia="ru-RU"/>
        </w:rPr>
        <w:t>2017-2018учебного года</w:t>
      </w:r>
    </w:p>
    <w:p w:rsidR="00046FCD" w:rsidRPr="00046FCD" w:rsidRDefault="00046FCD" w:rsidP="00046F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– 2018 учебном году в 9-ом классе 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Новотравнинской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школы обучалось 7 учеников. 7 учеников были допущены к итоговой аттестации и сдавали 2 обязательных предмета (русский, математика) и по выбору в формате ОГЭ.</w:t>
      </w: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обязательных письменных экзаменов по русскому языку и математике в девятом  классе</w:t>
      </w: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40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702"/>
        <w:gridCol w:w="1132"/>
        <w:gridCol w:w="1136"/>
        <w:gridCol w:w="1134"/>
        <w:gridCol w:w="1134"/>
        <w:gridCol w:w="1134"/>
        <w:gridCol w:w="993"/>
        <w:gridCol w:w="1276"/>
        <w:gridCol w:w="1419"/>
        <w:gridCol w:w="1277"/>
      </w:tblGrid>
      <w:tr w:rsidR="00046FCD" w:rsidRPr="00046FCD" w:rsidTr="00046FCD">
        <w:trPr>
          <w:cantSplit/>
          <w:trHeight w:val="1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сдававших экзамен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подтвердили годовые отметки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отметки выше годовой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отметки ниже годовой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«4»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</w:t>
            </w:r>
            <w:proofErr w:type="spellEnd"/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046FCD" w:rsidRPr="00046FCD" w:rsidTr="00046FCD"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FC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46FCD" w:rsidRPr="00046FCD" w:rsidTr="00046FCD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экзамена- 29 мая 2018 года (учитель Мошкина Г.В.)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ОГЭ – 7 человек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 успеваемость –  86%  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успеваемость – 14 %</w:t>
      </w: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первой части работы</w:t>
      </w: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(сжатое изложение)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6055"/>
        <w:gridCol w:w="1583"/>
        <w:gridCol w:w="1578"/>
      </w:tblGrid>
      <w:tr w:rsidR="00046FCD" w:rsidRPr="00046FCD" w:rsidTr="00046FC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сжатого изложения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</w:tr>
      <w:tr w:rsidR="00046FCD" w:rsidRPr="00046FCD" w:rsidTr="00046FC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изложения (</w:t>
            </w:r>
            <w:proofErr w:type="spell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6FCD" w:rsidRPr="00046FCD" w:rsidTr="00046FC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Сжатие исходного текста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046FCD" w:rsidRPr="00046FCD" w:rsidTr="00046FCD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ИК3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Первую часть выполняли 7 учащихся. Справились все. Получились результаты: 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- 5 учащихся (2б.-71%), 2 учащихся (1б.-29%), отрицательных результатов нет.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- 4 учащихся (3б.-57%), 1 учащихся  (2б.-14%), 1 учащихся  (1б.-14%),1 уч-ся (0б.-14%).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ИК3- 3 учащихся (2б.-43%), 3 учащихся (1б.-43%), 1 учащихся  (0б.-14%).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научились воспринимать текст на слух, точно понимать его общую тему, проблему, авторскую позицию. Но не все умеют выделять главную и второстепенную информацию, применять различные методы компрессии текста, есть  нарушение абзацного членения.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второй части работы 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(тестовые задания 2-14)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46FCD" w:rsidRPr="00046FCD" w:rsidTr="00046F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046FCD" w:rsidRPr="00046FCD" w:rsidTr="00046F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правильных</w:t>
            </w:r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6FCD" w:rsidRPr="00046FCD" w:rsidTr="00046FCD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 выполнения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Тестовые задания проверили комплекс умений, определяющих уровень языковой и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лингвистической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учащихся.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часть показала глубину и точность понимания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экзаменуемыми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исходного текста: понимание основной проблемы текста, позиции автора, характеристики героя, контекстуального значения ключевых слов, понимание отношений синонимии и антонимии, опознавание изученных средств выразительности речи. Задания данной части имеют практическую направленность: проверяемые языковые явления составляют необходимую лингвистическую базу владения орфографическими, пунктуационными и речевыми нормами.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обратить внимание на задания 8,9,10,12,13, где качество выполнения составляет от 14 до 43%.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усвоены темы «Обособленные члены предложения», «Вводные слова», «Подчинительная и сочинительная связь в сложном  предложении», «Виды подчинения 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придаточных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сложном предложении».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Неумение видеть и определять грамматическую основу, которая заключает в себе ядро смысла предложения, влечёт за собой непонимание предложения, искажение его содержания, а, следовательно, и недопонимание всего текста в целом.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структуры сложного предложения помогает выражать более сложные мысли. Такого рода предложения применяются при сжатии текста и в сочинении-рассуждении.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 третьей частью сочинение-рассуждение (15.3)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работало 6 учащихся (1 ученик не приступил к работе). Учащиеся должны раскрыть смысл предложенной фразы  текста Части 2 , аргументируя  примерами из текста.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5625"/>
        <w:gridCol w:w="1583"/>
        <w:gridCol w:w="1578"/>
      </w:tblGrid>
      <w:tr w:rsidR="00046FCD" w:rsidRPr="00046FCD" w:rsidTr="00046FC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сочинения-рассуждения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правильных ответов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%</w:t>
            </w:r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выполнения</w:t>
            </w:r>
          </w:p>
        </w:tc>
      </w:tr>
      <w:tr w:rsidR="00046FCD" w:rsidRPr="00046FCD" w:rsidTr="00046FC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С2К1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смысла фрагмента текста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46FCD" w:rsidRPr="00046FCD" w:rsidTr="00046FC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С2К2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примеров-аргументов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46FCD" w:rsidRPr="00046FCD" w:rsidTr="00046FC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С2К3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цельность, речевая связность и последовательность сочинения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046FCD" w:rsidRPr="00046FCD" w:rsidTr="00046FC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С2К4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Композиционная стройность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</w:tbl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 все справились с частью сочинение-рассуждение 15.3.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Привели рассуждение на теоретическом уровне, привели 2 примера-аргумента из текста, указав их роль в тексте. Показана смысловая цельность, речевая связность и последовательность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Получились результаты: 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- 4 учащихся (2б.-57%), 1 учащийся (1б.-14%), 2 учащихся (0б.-29%).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С2-2 учащихся (3б.-29%), 2 учащихся (2б.-29%), 1 учащийся (1б.-14%), 2 учащихся (0б.-29%).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С3-2 учащихся (2б.-29%), 3 учащихся (1б.-43%), 2 учащихся (0б.-29%).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- 4 учащихся (2б.-57%), 1 учащийся (1б.-14%),2 учащихся (0б.-29%).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грамотность и фактическая точность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5653"/>
        <w:gridCol w:w="1583"/>
        <w:gridCol w:w="1578"/>
      </w:tblGrid>
      <w:tr w:rsidR="00046FCD" w:rsidRPr="00046FCD" w:rsidTr="00046FC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грамотности и фактической точности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</w:t>
            </w:r>
          </w:p>
        </w:tc>
      </w:tr>
      <w:tr w:rsidR="00046FCD" w:rsidRPr="00046FCD" w:rsidTr="00046FC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46FCD" w:rsidRPr="00046FCD" w:rsidTr="00046FC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46FCD" w:rsidRPr="00046FCD" w:rsidTr="00046FC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грамматических норм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46FCD" w:rsidRPr="00046FCD" w:rsidTr="00046FC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речевых норм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046FCD" w:rsidRPr="00046FCD" w:rsidTr="00046FCD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ФК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точность письменной речи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</w:tbl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</w:t>
      </w:r>
      <w:proofErr w:type="gramStart"/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- 2 учащихся (1б.-29%), 5 учащихся (0б.-71%).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ГК2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-7 учащихся (0б.-100%).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ГК3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-4 учащихся (1б.-57%), 3 учащихся (0б.-43%).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</w:t>
      </w:r>
      <w:proofErr w:type="gramStart"/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- 1 учащийся (2б.-14%), 3 учащихся (1б.-43%),3 учащихся (0б.-43%).</w:t>
      </w: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Сравнительный анализ итогов аттестации по русскому языку за 5 лет</w:t>
      </w: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1701"/>
        <w:gridCol w:w="1560"/>
        <w:gridCol w:w="3543"/>
        <w:gridCol w:w="1333"/>
      </w:tblGrid>
      <w:tr w:rsidR="00046FCD" w:rsidRPr="00046FCD" w:rsidTr="00046FC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046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сдавших экзамены на «4»и «5»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046FCD" w:rsidRPr="00046FCD" w:rsidTr="00046FC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46FCD" w:rsidRPr="00046FCD" w:rsidTr="00046FC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46FCD" w:rsidRPr="00046FCD" w:rsidTr="00046FC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46FCD" w:rsidRPr="00046FCD" w:rsidTr="00046FC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046FCD" w:rsidRPr="00046FCD" w:rsidTr="00046FCD"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8BE80" wp14:editId="49D11B27">
            <wp:extent cx="5762625" cy="11811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выпускников школы  по предмету находится на низком уровне, качество знаний понизилось на 39% по сравнению с прошлым учебным годом (количество учащихся в 2017- 15, в 2018-7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данного учителя, Мошкиной Г.В., класс обучался 1 год, 5-8 клас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Мошкина Т.А. Анализ годовых и экзаменационных результатов  показал, что обучающиеся  подтвердили  свои годовые отметки  по русскому языку: 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Бальцер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Данилова Л., 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Бакалдина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Л., 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Желнин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Д., 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Люботинский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Результаты экзамена  ниже  у 1 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Анискина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В.,), не прошёл ГИА в основной период Кремер В.</w:t>
      </w:r>
    </w:p>
    <w:p w:rsidR="00046FCD" w:rsidRPr="00046FCD" w:rsidRDefault="00046FCD" w:rsidP="00046FCD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экзамена – 5 июня  2018 года (учитель Азарова В.П.)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успеваемость: 71%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Качественная успеваемость: 43%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0"/>
        <w:gridCol w:w="1146"/>
        <w:gridCol w:w="1305"/>
        <w:gridCol w:w="1307"/>
        <w:gridCol w:w="1307"/>
        <w:gridCol w:w="1307"/>
        <w:gridCol w:w="1441"/>
        <w:gridCol w:w="1753"/>
        <w:gridCol w:w="1477"/>
        <w:gridCol w:w="1477"/>
      </w:tblGrid>
      <w:tr w:rsidR="00046FCD" w:rsidRPr="00046FCD" w:rsidTr="00046FCD">
        <w:trPr>
          <w:trHeight w:val="646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Успев-</w:t>
            </w:r>
            <w:proofErr w:type="spellStart"/>
            <w:r w:rsidRPr="0004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оценка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</w:tr>
      <w:tr w:rsidR="00046FCD" w:rsidRPr="00046FCD" w:rsidTr="00046FCD">
        <w:trPr>
          <w:trHeight w:val="34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</w:t>
            </w: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3</w:t>
            </w: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11,1</w:t>
            </w:r>
          </w:p>
        </w:tc>
      </w:tr>
    </w:tbl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Экзаменационная работа состояла из двух частей. Первая часть представляла собой 20 заданий: блок алгебра 14 заданий к каждому заданию записать или выбрать один верный   ответ, и на установление соответствия; блок геометрия - 6 заданий с краткой записью ответа и выбором верных утверждений. Вторая часть состояла из 6 заданий, решение которых нужно было записать из которых 3 задания из блока алгебра, и 3 задания из блока геометрия</w:t>
      </w: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752"/>
        <w:gridCol w:w="613"/>
        <w:gridCol w:w="502"/>
        <w:gridCol w:w="502"/>
        <w:gridCol w:w="613"/>
        <w:gridCol w:w="613"/>
        <w:gridCol w:w="455"/>
        <w:gridCol w:w="466"/>
        <w:gridCol w:w="557"/>
        <w:gridCol w:w="557"/>
        <w:gridCol w:w="557"/>
        <w:gridCol w:w="557"/>
        <w:gridCol w:w="579"/>
        <w:gridCol w:w="585"/>
        <w:gridCol w:w="14"/>
        <w:gridCol w:w="599"/>
        <w:gridCol w:w="599"/>
        <w:gridCol w:w="599"/>
        <w:gridCol w:w="599"/>
        <w:gridCol w:w="599"/>
        <w:gridCol w:w="595"/>
        <w:gridCol w:w="9"/>
      </w:tblGrid>
      <w:tr w:rsidR="00046FCD" w:rsidRPr="00046FCD" w:rsidTr="00046FCD">
        <w:trPr>
          <w:trHeight w:val="406"/>
        </w:trPr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Номера заданий первой части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6FCD" w:rsidRPr="00046FCD" w:rsidTr="00046FCD">
        <w:trPr>
          <w:gridAfter w:val="1"/>
          <w:wAfter w:w="9" w:type="dxa"/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Модуль «Алгебра»</w:t>
            </w:r>
          </w:p>
        </w:tc>
        <w:tc>
          <w:tcPr>
            <w:tcW w:w="3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Модуль «Геометрия»</w:t>
            </w:r>
          </w:p>
        </w:tc>
      </w:tr>
      <w:tr w:rsidR="00046FCD" w:rsidRPr="00046FCD" w:rsidTr="00046FCD">
        <w:trPr>
          <w:trHeight w:val="4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Кол – 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человек, выполнивших задание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6FCD" w:rsidRPr="00046FCD" w:rsidTr="00046FCD">
        <w:trPr>
          <w:trHeight w:val="4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Кол – 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человек, не выполнивших задание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1352"/>
        <w:gridCol w:w="452"/>
        <w:gridCol w:w="1352"/>
        <w:gridCol w:w="452"/>
        <w:gridCol w:w="1352"/>
        <w:gridCol w:w="603"/>
        <w:gridCol w:w="1505"/>
        <w:gridCol w:w="476"/>
        <w:gridCol w:w="1287"/>
        <w:gridCol w:w="858"/>
        <w:gridCol w:w="1289"/>
        <w:gridCol w:w="508"/>
      </w:tblGrid>
      <w:tr w:rsidR="00046FCD" w:rsidRPr="00046FCD" w:rsidTr="00046FCD">
        <w:trPr>
          <w:trHeight w:val="30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Номера заданий второй части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6FCD" w:rsidRPr="00046FCD" w:rsidTr="00046FCD">
        <w:trPr>
          <w:trHeight w:val="392"/>
        </w:trPr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Кол – 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человек, получивших баллы</w:t>
            </w:r>
          </w:p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за задания второй части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 балл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0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1балл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6FCD" w:rsidRPr="00046FCD" w:rsidTr="00046FCD">
        <w:trPr>
          <w:trHeight w:val="239"/>
        </w:trPr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2балла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балла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2балла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 балла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балла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6FCD" w:rsidRPr="00046FCD" w:rsidTr="00046FCD">
        <w:trPr>
          <w:trHeight w:val="30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Кол – 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человек, не выполнивших задание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046FCD" w:rsidRPr="00046FCD" w:rsidTr="00046FCD">
        <w:trPr>
          <w:trHeight w:val="30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Кол – 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человек, не приступавших к заданию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</w:tbl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Выводы: 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первой части работы процент выполнения  меньше 50%  в заданиях  блока «Алгебра»:  №5,9,10 - </w:t>
      </w:r>
      <w:r w:rsidRPr="00046FCD">
        <w:rPr>
          <w:rFonts w:ascii="Times New Roman" w:eastAsia="Calibri" w:hAnsi="Times New Roman" w:cs="Times New Roman"/>
          <w:sz w:val="24"/>
          <w:szCs w:val="24"/>
        </w:rPr>
        <w:t xml:space="preserve">описывать с помощью функций различные реальные зависимости между величинами; интерпретировать графики реальных зависимостей. Извлекать статистическую информацию, представленную в виде графика; </w:t>
      </w:r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находить вероятности случайных событий в простейших случаях; </w:t>
      </w:r>
      <w:r w:rsidRPr="00046FCD">
        <w:rPr>
          <w:rFonts w:ascii="Times New Roman" w:eastAsia="Calibri" w:hAnsi="Times New Roman" w:cs="Times New Roman"/>
          <w:sz w:val="24"/>
          <w:szCs w:val="24"/>
        </w:rPr>
        <w:t>установление соответствия между графиками функций и уравнениями, которыми они задаются.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«Геометрия»: №16,20 - </w:t>
      </w:r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решать планиметрические задачи на решение прямоугольных треугольников; </w:t>
      </w:r>
      <w:r w:rsidRPr="00046FCD">
        <w:rPr>
          <w:rFonts w:ascii="Times New Roman" w:eastAsia="Calibri" w:hAnsi="Times New Roman" w:cs="Times New Roman"/>
          <w:sz w:val="24"/>
          <w:szCs w:val="24"/>
        </w:rPr>
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</w:r>
      <w:proofErr w:type="gramStart"/>
      <w:r w:rsidRPr="00046FCD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046FCD">
        <w:rPr>
          <w:rFonts w:ascii="Times New Roman" w:eastAsia="Calibri" w:hAnsi="Times New Roman" w:cs="Times New Roman"/>
          <w:sz w:val="24"/>
          <w:szCs w:val="24"/>
        </w:rPr>
        <w:t xml:space="preserve"> Установление верных утверждений из числа предложенных. 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второй части №21 выполнил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ученик.  Задание №24 выполняли 2 ученика - неверно.</w:t>
      </w: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Сравнительный анализ итогов аттестации по математике за 5 лет</w:t>
      </w: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page" w:horzAnchor="margin" w:tblpXSpec="center" w:tblpY="1021"/>
        <w:tblW w:w="1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270"/>
        <w:gridCol w:w="1515"/>
        <w:gridCol w:w="1641"/>
        <w:gridCol w:w="2702"/>
        <w:gridCol w:w="1557"/>
      </w:tblGrid>
      <w:tr w:rsidR="00046FCD" w:rsidRPr="00046FCD" w:rsidTr="00046FCD">
        <w:trPr>
          <w:trHeight w:val="69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Учебный    год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           Учитель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учеников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% выполнения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уч-ся, сдавших экзамены на «4»и «5»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lang w:eastAsia="ru-RU"/>
              </w:rPr>
              <w:t>% качества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-201</w:t>
            </w: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Азарова В.П.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Математика - 7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Алгебра - 7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Геометрия - 8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2014-2015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Азарова В.П.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7(6+1)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Математика - 0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Алгебра - 0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Геометрия - 2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2015-2016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Азарова В.П.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6(5+1)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Математика - 1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Алгебра - 1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 xml:space="preserve">  Геометрия - 1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2016-2017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Азарова В.П.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Математика - 5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Алгебра - 4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Геометрия - 4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Азарова В.П.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Математика - 3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Алгебра - 2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046FCD" w:rsidRPr="00046FCD" w:rsidTr="00046FCD">
        <w:trPr>
          <w:trHeight w:val="3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Геометрия - 2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</w:tbl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0B7B29" wp14:editId="3180C57D">
            <wp:extent cx="5762625" cy="1181100"/>
            <wp:effectExtent l="0" t="0" r="0" b="0"/>
            <wp:docPr id="2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сравнении с результатами выполнения за 5 лет можно сделать вывод, что общая успеваемость понизилась на 29%, качество понизилось на 10%.  Наблюдается волнообразная динамика уровня выполнения заданий ГИА (ОГЭ). 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успеваемость за 2017-18 учебный  год  снизилась на 9%, качество повысилось на 10%. По алгебре и геометрии качество повысилось на 2%.    Полностью свои знания по математике  подтвердили 71%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Подтвердили знания на «удовлетворительно» -  28%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обучающихся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подтвердили – 28%. По алгебре подтвердили71% обучающихся, не подтвердили 28% обучающихся; по геометрии подтвердили  57% обучающихся, не подтвердили 42% обучающихся. 14% обучающихся получили на экзамене отметку выше годовой (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Желнин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Д.).</w:t>
      </w: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Экзамены по выбору</w:t>
      </w: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экзаменов по выбору за 2016 - 2017 учебный год:</w:t>
      </w: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531"/>
        <w:gridCol w:w="991"/>
        <w:gridCol w:w="991"/>
        <w:gridCol w:w="952"/>
        <w:gridCol w:w="1126"/>
        <w:gridCol w:w="2319"/>
        <w:gridCol w:w="1702"/>
      </w:tblGrid>
      <w:tr w:rsidR="00046FCD" w:rsidRPr="00046FCD" w:rsidTr="00046FCD"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</w:t>
            </w:r>
          </w:p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lang w:eastAsia="ru-RU"/>
              </w:rPr>
              <w:t>сдававших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Число 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обучающихся</w:t>
            </w:r>
            <w:proofErr w:type="gramEnd"/>
            <w:r w:rsidRPr="00046F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сдавших экзамен на </w:t>
            </w:r>
          </w:p>
        </w:tc>
      </w:tr>
      <w:tr w:rsidR="00046FCD" w:rsidRPr="00046FCD" w:rsidTr="00046F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lang w:eastAsia="ru-RU"/>
              </w:rPr>
              <w:t>«5»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lang w:eastAsia="ru-RU"/>
              </w:rPr>
              <w:t>«4»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lang w:eastAsia="ru-RU"/>
              </w:rPr>
              <w:t>«3»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overflowPunct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успеваемость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46FCD" w:rsidRPr="00046FCD" w:rsidTr="00046FCD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tabs>
                <w:tab w:val="num" w:pos="0"/>
                <w:tab w:val="left" w:pos="360"/>
                <w:tab w:val="num" w:pos="720"/>
              </w:tabs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46FCD" w:rsidRPr="00046FCD" w:rsidTr="00046FCD">
        <w:trPr>
          <w:trHeight w:val="23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tabs>
                <w:tab w:val="num" w:pos="0"/>
                <w:tab w:val="left" w:pos="360"/>
                <w:tab w:val="num" w:pos="720"/>
              </w:tabs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046FCD" w:rsidRPr="00046FCD" w:rsidTr="00046FCD">
        <w:trPr>
          <w:trHeight w:val="170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tabs>
                <w:tab w:val="num" w:pos="0"/>
                <w:tab w:val="left" w:pos="360"/>
                <w:tab w:val="num" w:pos="720"/>
              </w:tabs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46FCD" w:rsidRPr="00046FCD" w:rsidRDefault="00046FCD" w:rsidP="00046FCD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lang w:eastAsia="ru-RU"/>
        </w:rPr>
      </w:pP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экзамена-  31 мая, 9 июня 2018 года (учитель 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Жауленова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К.А.)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ОГЭ – 5 человек.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 успеваемость –  80%  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успеваемость – 60 %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1032"/>
        <w:gridCol w:w="1176"/>
        <w:gridCol w:w="1177"/>
        <w:gridCol w:w="1177"/>
        <w:gridCol w:w="1177"/>
        <w:gridCol w:w="1722"/>
        <w:gridCol w:w="1155"/>
        <w:gridCol w:w="1331"/>
      </w:tblGrid>
      <w:tr w:rsidR="00046FCD" w:rsidRPr="00046FCD" w:rsidTr="00046FCD">
        <w:trPr>
          <w:trHeight w:val="57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оценка</w:t>
            </w:r>
          </w:p>
        </w:tc>
      </w:tr>
      <w:tr w:rsidR="00046FCD" w:rsidRPr="00046FCD" w:rsidTr="00046FCD">
        <w:trPr>
          <w:trHeight w:val="30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3,6</w:t>
            </w:r>
          </w:p>
        </w:tc>
      </w:tr>
    </w:tbl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Выводы: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усвоили базовый материал по предмету;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Выполнение отдельных заданий  в экзаменационной работе колеблется от  40% до 80%. 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Освоили умения распознавать признаки отдельных понятий, сравнивать социальные объекты: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А) устанавливать соответствия между существенными чертами и признаками социальных явлений, выбирать верные позиции;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 характеризовать социальные объекты (факты, процессы, институты); 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)а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нализировать информацию, выявляя общее и различное;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Г) объяснять  причинно – следственные связи изученных  социальных объектов.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Типичные ошибки первой части работы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46FCD" w:rsidRPr="00046FCD" w:rsidRDefault="00046FCD" w:rsidP="00046F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3 -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и человек (задание на обращение к социальным реалиям)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046FCD" w:rsidRPr="00046FCD" w:rsidRDefault="00046FCD" w:rsidP="00046F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5- 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духовной культуры и ее особенности; наука в жизни современного общества; образование и его значимость в условиях информационного общества; возможности получения общего и профессионального образования в Российской Федерации; религия, религиозные организации и объединения, их роль в жизни современного общества; свобода совести; мораль; гуманизм; патриотизм; гражданственность</w:t>
      </w:r>
      <w:proofErr w:type="gramStart"/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;</w:t>
      </w:r>
      <w:proofErr w:type="gramEnd"/>
    </w:p>
    <w:p w:rsidR="00046FCD" w:rsidRPr="00046FCD" w:rsidRDefault="00046FCD" w:rsidP="00046F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13 - Социальная сфера (задание на анализ двух суждений);</w:t>
      </w:r>
    </w:p>
    <w:p w:rsidR="00046FCD" w:rsidRPr="00046FCD" w:rsidRDefault="00046FCD" w:rsidP="00046F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15 - Сфера политики и социального управления (задание на обращение к социальным реалиям)</w:t>
      </w:r>
      <w:proofErr w:type="gramStart"/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;</w:t>
      </w:r>
      <w:proofErr w:type="gramEnd"/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17 -  Право (задание на анализ двух </w:t>
      </w:r>
      <w:proofErr w:type="spellStart"/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суждений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роль в жизни общества и государства; норма права; нормативный правовой акт; признаки и виды правонарушений; понятие и виды юридической ответственности; административные правоотношения, правонарушения и наказания; основные понятия и институты уголовного права; уголовная ответственность несовершеннолетних</w:t>
      </w:r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046FCD" w:rsidRPr="00046FCD" w:rsidRDefault="00046FCD" w:rsidP="00046F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21 - Различное содержание в разных вариантах: задание ориентировано на проверяемое умение (задание на сравнение)</w:t>
      </w:r>
      <w:proofErr w:type="gramStart"/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;</w:t>
      </w:r>
      <w:proofErr w:type="gramEnd"/>
    </w:p>
    <w:p w:rsidR="00046FCD" w:rsidRPr="00046FCD" w:rsidRDefault="00046FCD" w:rsidP="00046F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23 - Различное содержание в разных вариантах: задание ориентировано на проверяемое умение (задание на установление фактов и мнений)</w:t>
      </w:r>
      <w:proofErr w:type="gramStart"/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;</w:t>
      </w:r>
      <w:proofErr w:type="gramEnd"/>
    </w:p>
    <w:p w:rsidR="00046FCD" w:rsidRPr="00046FCD" w:rsidRDefault="00046FCD" w:rsidP="00046F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Наибольшие затруднения в Части 1 у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вызвали задания:</w:t>
      </w:r>
    </w:p>
    <w:p w:rsidR="00046FCD" w:rsidRPr="00046FCD" w:rsidRDefault="00046FCD" w:rsidP="00046F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24 - Различное содержание в разных вариантах: задание ориентировано на проверяемое умение (задание на выбор верных позиций из списка)(0% выполнения)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Затруднения в Части 2 у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вызвали задания: 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29, 30 – задание на анализ источников </w:t>
      </w:r>
    </w:p>
    <w:p w:rsidR="00046FCD" w:rsidRPr="00046FCD" w:rsidRDefault="00046FCD" w:rsidP="00046F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Наибольшие затруднения в Части 2у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вызвали задания:</w:t>
      </w:r>
    </w:p>
    <w:p w:rsidR="00046FCD" w:rsidRPr="00046FCD" w:rsidRDefault="00046FCD" w:rsidP="00046F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31 - задание ориентировано на проверяемое умение (задания на анализ источников)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аргументация. </w:t>
      </w:r>
      <w:r w:rsidRPr="00046FC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(0% выполнения)</w:t>
      </w:r>
    </w:p>
    <w:p w:rsidR="00046FCD" w:rsidRPr="00046FCD" w:rsidRDefault="00046FCD" w:rsidP="00046FC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Сравнительный анализ итогов аттестации по обществознанию за </w:t>
      </w:r>
      <w:r w:rsidRPr="00046F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 лет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 за 5 лет (2014-2015уч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выбору экзамены не сдавали) показывает, что общая успеваемость понизилась на 12%,  качество повысилось  с 30% до 60 %. Подтвердили отметки за год 60% обучающихся, 20% показали результат выше годовой отметки, 20%-ниже годовой отметки.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ind w:left="2124" w:firstLine="86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50DF9" wp14:editId="0C95E0D4">
            <wp:extent cx="5781675" cy="1200150"/>
            <wp:effectExtent l="0" t="0" r="0" b="0"/>
            <wp:docPr id="3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D" w:rsidRPr="00046FCD" w:rsidRDefault="00046FCD" w:rsidP="00046F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География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экзамена-  7 июня 2018 года (учитель 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Жауленова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К.А.)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ОГЭ – 3 человека.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 успеваемость –  100%  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успеваемость – 33,3 %</w:t>
      </w: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1032"/>
        <w:gridCol w:w="1176"/>
        <w:gridCol w:w="1177"/>
        <w:gridCol w:w="1177"/>
        <w:gridCol w:w="1177"/>
        <w:gridCol w:w="1722"/>
        <w:gridCol w:w="1155"/>
        <w:gridCol w:w="1331"/>
      </w:tblGrid>
      <w:tr w:rsidR="00046FCD" w:rsidRPr="00046FCD" w:rsidTr="00046FCD">
        <w:trPr>
          <w:trHeight w:val="57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оценка</w:t>
            </w:r>
          </w:p>
        </w:tc>
      </w:tr>
      <w:tr w:rsidR="00046FCD" w:rsidRPr="00046FCD" w:rsidTr="00046FCD">
        <w:trPr>
          <w:trHeight w:val="30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6FCD">
        <w:rPr>
          <w:rFonts w:ascii="Times New Roman" w:eastAsia="Calibri" w:hAnsi="Times New Roman" w:cs="Times New Roman"/>
          <w:b/>
          <w:sz w:val="24"/>
          <w:szCs w:val="24"/>
        </w:rPr>
        <w:t xml:space="preserve">Выводы: </w:t>
      </w:r>
      <w:proofErr w:type="gramStart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Обучающиеся</w:t>
      </w:r>
      <w:proofErr w:type="gramEnd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усвоили базовый материал по предмету.</w:t>
      </w:r>
      <w:r w:rsidRPr="00046FCD">
        <w:rPr>
          <w:rFonts w:ascii="Times New Roman" w:eastAsia="Calibri" w:hAnsi="Times New Roman" w:cs="Times New Roman"/>
          <w:sz w:val="24"/>
          <w:szCs w:val="24"/>
        </w:rPr>
        <w:t xml:space="preserve"> Процент выполнения варьируется от 33% до 100%. 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Типичные ошибки работы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1-Знать и понимать географические особенности природы материков и океанов, народов Земли; различия в хозяйственном освоении разных территорий и акваторий; результаты выдающихся географических открытий и путешествий;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3- Знать и понимать особенности природы России;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8 –Уметь находить информацию, необходимую для изучения разных территорий Земли, их обеспеченности природными и человеческими ресурсами;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9 –Уметь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10 -Понимать географические явления и процессы в геосферах;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–Уметь определять на карте географические координаты;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15 -Уметь объяснять существенные признаки географических объектов и явлений.  Знать и понимать природные и антропогенные причины возникновения 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21 –Уметь использовать приобретенные знания и умения в практической деятельности и повседневной жизни для чтения карт различного содержания;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25 –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Знать и понимать особенности природы, населения, основных отраслей хозяйства, 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природнохозяйственных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зон и районов России; связь между географическим положением, природными условиями, ресурсами и хозяйством отдельных стран;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26 –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Знать и понимать географические явления и процессы в геосферах;</w:t>
      </w:r>
    </w:p>
    <w:p w:rsidR="00046FCD" w:rsidRPr="00046FCD" w:rsidRDefault="00046FCD" w:rsidP="00046FCD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27 –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анализировать информацию, необходимую для изучения разных территорий Земли;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28 –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выявлять на основе представленных в разной форме результатов измерений эмпирические зависимости;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30 -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выделять (узнавать) существенные признаки географических объектов и явлений.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Наибольшие затруднения у 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вызвали задания: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1-Знать и понимать географические особенности природы материков и океанов, народов Земли; различия в хозяйственном освоении разных территорий и акваторий; результаты выдающихся географических открытий и путешествий;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28 –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выявлять на основе представленных в разной форме результатов измерений эмпирические зависимости;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30 -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Уметь выделять (узнавать) существенные признаки географических объектов и явлений.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Экзамен по предмету сдаётся впервые. </w:t>
      </w:r>
    </w:p>
    <w:p w:rsidR="00046FCD" w:rsidRPr="00046FCD" w:rsidRDefault="00046FCD" w:rsidP="00046F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FC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DED08C" wp14:editId="3AF37928">
            <wp:extent cx="5781675" cy="1200150"/>
            <wp:effectExtent l="0" t="0" r="0" b="0"/>
            <wp:docPr id="4" name="Объект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6FCD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экзамена-  31 мая 2018 года (учитель </w:t>
      </w:r>
      <w:proofErr w:type="spell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ОГЭ – 6 человек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Абсолютная успеваемость: 100 %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Качественная успеваемость: 0 %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1032"/>
        <w:gridCol w:w="1176"/>
        <w:gridCol w:w="1177"/>
        <w:gridCol w:w="1177"/>
        <w:gridCol w:w="1177"/>
        <w:gridCol w:w="1722"/>
        <w:gridCol w:w="1155"/>
        <w:gridCol w:w="1331"/>
      </w:tblGrid>
      <w:tr w:rsidR="00046FCD" w:rsidRPr="00046FCD" w:rsidTr="00046FCD">
        <w:trPr>
          <w:trHeight w:val="57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оценка</w:t>
            </w:r>
          </w:p>
        </w:tc>
      </w:tr>
      <w:tr w:rsidR="00046FCD" w:rsidRPr="00046FCD" w:rsidTr="00046FCD">
        <w:trPr>
          <w:trHeight w:val="30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3</w:t>
            </w:r>
          </w:p>
        </w:tc>
      </w:tr>
    </w:tbl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</w:p>
    <w:p w:rsidR="00046FCD" w:rsidRPr="00046FCD" w:rsidRDefault="00046FCD" w:rsidP="00046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Выводы: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 выполнения части 1 варьируется от 17% до 67%. Наиболее удачно выполнены задания по темам: «Роль биологии в формировании современной естественнонаучной картины мира, в практической деятельности людей», «Клеточное строение организмов как доказательство их родства, единства живой природы», «Царство Животные», «Царство Растения», «Нейрогуморальная регуляция процессов жизнедеятельности организма», «Опора и движение», «Транспорт веществ». От 33% до 67% обучающихся показали хорошие умения интерпретировать результаты научных исследований, представленные в графической форме, устанавливать соответствие, определять структуру объекта, выделять значимые функциональные связи и отношения между частями целого.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Arial Unicode MS"/>
          <w:sz w:val="24"/>
          <w:szCs w:val="24"/>
          <w:lang w:eastAsia="ru-RU"/>
        </w:rPr>
        <w:t xml:space="preserve"> При выполнении заданий Части 2 выявлены следующие результаты:</w:t>
      </w: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949"/>
        <w:gridCol w:w="2128"/>
      </w:tblGrid>
      <w:tr w:rsidR="00046FCD" w:rsidRPr="00046FCD" w:rsidTr="00046F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Проверяемые элементы подготовки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2017-18 </w:t>
            </w:r>
            <w:proofErr w:type="spell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046FCD" w:rsidRPr="00046FCD" w:rsidTr="00046F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текстом биологического содержания</w:t>
            </w:r>
          </w:p>
          <w:p w:rsidR="00046FCD" w:rsidRPr="00046FCD" w:rsidRDefault="00046FCD" w:rsidP="0004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(понимать, сравнивать, обобщать)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46FCD" w:rsidRPr="00046FCD" w:rsidTr="00046F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46FCD" w:rsidRPr="00046FCD" w:rsidTr="00046F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</w:t>
            </w:r>
            <w:proofErr w:type="spell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энерготраты</w:t>
            </w:r>
            <w:proofErr w:type="spellEnd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gram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различной</w:t>
            </w:r>
            <w:proofErr w:type="gramEnd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физическойнагрузке</w:t>
            </w:r>
            <w:proofErr w:type="spellEnd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Составлять </w:t>
            </w:r>
            <w:proofErr w:type="spellStart"/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рационыпитания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46FCD" w:rsidRPr="00046FCD" w:rsidTr="00046F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обосновывать необходимость рационального и здорового питания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6FCD" w:rsidRPr="00046FCD" w:rsidRDefault="00046FCD" w:rsidP="0004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046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Процент выполнения 2 части от 33% до 50%. Обучающиеся показали хорошие умения</w:t>
      </w:r>
      <w:r w:rsidRPr="00046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 биологического содержания (понимать, сравнивать, обобщать).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46F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Сравнительный анализ итогов аттестации по биологии за 4 года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 за 4 года  (2014-2015уч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выбору экзамены не сдавали) показывает, что общая успеваемость повысилась до 100%,  наблюдается волнообразная динамика за 4 года и резкое падение качества до 0% в 2015-2016 учебном году и 2017-2018 учебном году. 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BB565" wp14:editId="09EAB092">
            <wp:extent cx="5791200" cy="1209675"/>
            <wp:effectExtent l="0" t="0" r="0" b="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дальнейшей работе учителю необходимо</w:t>
      </w:r>
      <w:proofErr w:type="gramStart"/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выделить наиболее проблемные темы, задания по которым вызвали наибольшие затруднения у учащихся;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усилить практико-ориентированную направленность процесса обучения биологии за счет использования различных типов учебно-познавательных и практических заданий на уроках;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организации образовательного процесса и учебной деятельности 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на уроках биологии развивать умения рассуждать и логически мыслить; </w:t>
      </w: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-учить устанавливать аналогии, причинно-следственные связи, аргументировать и отстаивать свое мнение;</w:t>
      </w:r>
    </w:p>
    <w:p w:rsidR="00046FCD" w:rsidRPr="00046FCD" w:rsidRDefault="00046FCD" w:rsidP="00046F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организовать повторение пройденного материала во взаимосвязи с изучаемым  материалом с начала учебного года</w:t>
      </w:r>
    </w:p>
    <w:p w:rsidR="00046FCD" w:rsidRPr="00046FCD" w:rsidRDefault="00046FCD" w:rsidP="00046F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D" w:rsidRPr="00046FCD" w:rsidRDefault="00046FCD" w:rsidP="00046F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CD" w:rsidRPr="00046FCD" w:rsidRDefault="00046FCD" w:rsidP="00046F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6FCD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046FCD" w:rsidRPr="00046FCD" w:rsidRDefault="00046FCD" w:rsidP="00046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FCD">
        <w:rPr>
          <w:rFonts w:ascii="Times New Roman" w:eastAsia="Calibri" w:hAnsi="Times New Roman" w:cs="Times New Roman"/>
          <w:sz w:val="24"/>
          <w:szCs w:val="24"/>
        </w:rPr>
        <w:t>Рассмотрев результаты ГИА,  можно обозначить следующие направления деятельности педагогического коллектива и администрации школы на 2018-2019 учебный год:</w:t>
      </w:r>
    </w:p>
    <w:p w:rsidR="00046FCD" w:rsidRPr="00046FCD" w:rsidRDefault="00046FCD" w:rsidP="00046F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smartTag w:uri="urn:schemas-microsoft-com:office:smarttags" w:element="place">
        <w:r w:rsidRPr="00046FCD">
          <w:rPr>
            <w:rFonts w:ascii="Times New Roman" w:eastAsia="Calibri" w:hAnsi="Times New Roman" w:cs="Times New Roman"/>
            <w:sz w:val="24"/>
            <w:szCs w:val="24"/>
            <w:lang w:val="en-US" w:eastAsia="ar-SA"/>
          </w:rPr>
          <w:t>I</w:t>
        </w:r>
        <w:r w:rsidRPr="00046FCD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.</w:t>
        </w:r>
      </w:smartTag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Учителям - предметникам: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1. Провести полный  анализ итогов государственной итоговой аттестации 2017-2018 учебного года, поставить на контроль изучение тем, по которым выявлены пробелы, и тем, в которых наблюдается наименьший процент выполнения, более четко организовать повторение этих тем для предупреждения повтора ошибок и повышения качества обучения.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Вести целенаправленную систематическую работу по повышению качества образования </w:t>
      </w:r>
      <w:proofErr w:type="gramStart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9 класса в соответствии с Планом работы школы на 2018-2019 учебный год.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Организовать </w:t>
      </w:r>
      <w:proofErr w:type="spellStart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разноуровневую</w:t>
      </w:r>
      <w:proofErr w:type="spellEnd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систему обучения, осуществлять индивидуализацию, интеграцию обучения,  проводить индивидуальные и групповые консультации, а также вести систематическую работу с банком тренировочных материалов демоверсий </w:t>
      </w:r>
      <w:proofErr w:type="spellStart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КИМов</w:t>
      </w:r>
      <w:proofErr w:type="spellEnd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всем предметам.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4.  Использовать в учебно-воспитательном процессе современные образовательные ресурсы, новые методы обучения, активно привлекать электронные образовательные ресурсы, возможности </w:t>
      </w:r>
      <w:proofErr w:type="gramStart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Интернет-сети</w:t>
      </w:r>
      <w:proofErr w:type="gramEnd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; расширять научный кругозор обучающихся, вовлекать их в научно-исследовательскую деятельность.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Организовать участие </w:t>
      </w:r>
      <w:proofErr w:type="gramStart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проекте «Пятая четверть» для систематизации изученного материала по учебным предметам.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II. Классным  руководителям: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 Своевременно информировать родителей о результатах срезов и уровне подготовки учащихся  к ОГЭ на классном собрании. 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Провести анкетирование  с родителями учащихся  8-9 классов: «Прогнозируемый выбор профессии», с последующим анализом и сопоставлением результатов с анкетированием обучающихся. 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III. Администрации школы: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1.  Активно работать над повышением квалификации педагогических работников, самообразованием учителей. Проводить работу по обмену передовым педагогическим и научным опытом в сфере образования.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2.Провести  педагогический совет по теме «Система работы с учащимися по подготовке к ГИА: анализ деятельности»  в сентябре 2018 года.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3.</w:t>
      </w:r>
      <w:r w:rsidRPr="00046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Продолжать планировать  ВШК контроль  за  работой </w:t>
      </w:r>
      <w:proofErr w:type="spellStart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педкадров</w:t>
      </w:r>
      <w:proofErr w:type="spellEnd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(использование современных </w:t>
      </w:r>
      <w:proofErr w:type="spellStart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пед</w:t>
      </w:r>
      <w:proofErr w:type="gramStart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.т</w:t>
      </w:r>
      <w:proofErr w:type="gramEnd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ехнологий</w:t>
      </w:r>
      <w:proofErr w:type="spellEnd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, интеграция предметных областей, сетевое взаимодействие с педагогами округа).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Контролировать посещение учителями  методических семинаров, мастер классов, которые организуются  на  окружных и районных  МО учителей-предметников. 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5.   Продолжить работу по совершенствованию  </w:t>
      </w:r>
      <w:proofErr w:type="gramStart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системы организации итоговой аттестации выпускников школы</w:t>
      </w:r>
      <w:proofErr w:type="gramEnd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через повышение информационной компетенции участников образовательного процесса; выработать  программу  подготовки учащихся к ГИА-9, которая будет начинаться с начального звена.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 Усилить </w:t>
      </w:r>
      <w:proofErr w:type="gramStart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проведением уроков и внеурочных занятий во второй половине дня по  подготовке  к итоговой аттестации.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7.С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методисту Васильевой Т.Ю. провести входные срезы уровня подготовки обучающихся по предметам по выбору (обязательно по математике, биологии и физике) в 8-9 классах.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46FCD">
        <w:rPr>
          <w:rFonts w:ascii="Times New Roman" w:eastAsia="Calibri" w:hAnsi="Times New Roman" w:cs="Times New Roman"/>
          <w:sz w:val="24"/>
          <w:szCs w:val="24"/>
          <w:lang w:eastAsia="ar-SA"/>
        </w:rPr>
        <w:t>8. Внести корректировку в  систему организационно-методических мероприятий по подготовке и проведению ГИА-2019.</w:t>
      </w: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6FCD" w:rsidRPr="00046FCD" w:rsidRDefault="00046FCD" w:rsidP="00046FCD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6FCD" w:rsidRPr="00046FCD" w:rsidRDefault="00046FCD" w:rsidP="00046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FCD" w:rsidRPr="00046FCD" w:rsidRDefault="00046FCD" w:rsidP="00046FC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046FCD" w:rsidRPr="00046FC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E7000A" w:rsidRDefault="00E7000A"/>
    <w:sectPr w:rsidR="00E7000A" w:rsidSect="00046F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CD"/>
    <w:rsid w:val="00046FCD"/>
    <w:rsid w:val="00E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6FCD"/>
  </w:style>
  <w:style w:type="paragraph" w:styleId="a3">
    <w:name w:val="Normal (Web)"/>
    <w:basedOn w:val="a"/>
    <w:uiPriority w:val="99"/>
    <w:unhideWhenUsed/>
    <w:rsid w:val="0004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46FC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6FCD"/>
  </w:style>
  <w:style w:type="paragraph" w:styleId="a3">
    <w:name w:val="Normal (Web)"/>
    <w:basedOn w:val="a"/>
    <w:uiPriority w:val="99"/>
    <w:unhideWhenUsed/>
    <w:rsid w:val="00046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046FC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50</c:v>
                </c:pt>
                <c:pt idx="1">
                  <c:v>14</c:v>
                </c:pt>
                <c:pt idx="2">
                  <c:v>17</c:v>
                </c:pt>
                <c:pt idx="3">
                  <c:v>53</c:v>
                </c:pt>
                <c:pt idx="4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6722688"/>
        <c:axId val="156724224"/>
      </c:barChart>
      <c:catAx>
        <c:axId val="156722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724224"/>
        <c:crosses val="autoZero"/>
        <c:auto val="1"/>
        <c:lblAlgn val="ctr"/>
        <c:lblOffset val="100"/>
        <c:noMultiLvlLbl val="0"/>
      </c:catAx>
      <c:valAx>
        <c:axId val="15672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72268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86</c:v>
                </c:pt>
                <c:pt idx="2">
                  <c:v>67</c:v>
                </c:pt>
                <c:pt idx="3">
                  <c:v>80</c:v>
                </c:pt>
                <c:pt idx="4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39</c:v>
                </c:pt>
                <c:pt idx="1">
                  <c:v>0</c:v>
                </c:pt>
                <c:pt idx="2">
                  <c:v>17</c:v>
                </c:pt>
                <c:pt idx="3">
                  <c:v>33</c:v>
                </c:pt>
                <c:pt idx="4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4468864"/>
        <c:axId val="234470400"/>
      </c:barChart>
      <c:catAx>
        <c:axId val="234468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470400"/>
        <c:crosses val="autoZero"/>
        <c:auto val="1"/>
        <c:lblAlgn val="ctr"/>
        <c:lblOffset val="100"/>
        <c:noMultiLvlLbl val="0"/>
      </c:catAx>
      <c:valAx>
        <c:axId val="234470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46886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92</c:v>
                </c:pt>
                <c:pt idx="4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47</c:v>
                </c:pt>
                <c:pt idx="1">
                  <c:v>100</c:v>
                </c:pt>
                <c:pt idx="2">
                  <c:v>50</c:v>
                </c:pt>
                <c:pt idx="3">
                  <c:v>30</c:v>
                </c:pt>
                <c:pt idx="4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2012-2013</c:v>
                </c:pt>
                <c:pt idx="1">
                  <c:v>2013-2014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4239488"/>
        <c:axId val="234241024"/>
      </c:barChart>
      <c:catAx>
        <c:axId val="23423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241024"/>
        <c:crosses val="autoZero"/>
        <c:auto val="1"/>
        <c:lblAlgn val="ctr"/>
        <c:lblOffset val="100"/>
        <c:noMultiLvlLbl val="0"/>
      </c:catAx>
      <c:valAx>
        <c:axId val="234241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239488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1"/>
                <c:pt idx="0">
                  <c:v>2017-2018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1"/>
                <c:pt idx="0">
                  <c:v>2017-2018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33.299999999999997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1"/>
                <c:pt idx="0">
                  <c:v>2017-2018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6314368"/>
        <c:axId val="296315904"/>
      </c:barChart>
      <c:catAx>
        <c:axId val="296314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6315904"/>
        <c:crosses val="autoZero"/>
        <c:auto val="1"/>
        <c:lblAlgn val="ctr"/>
        <c:lblOffset val="100"/>
        <c:noMultiLvlLbl val="0"/>
      </c:catAx>
      <c:valAx>
        <c:axId val="296315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31436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2013-2014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67</c:v>
                </c:pt>
                <c:pt idx="2">
                  <c:v>92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2013-2014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4"/>
                <c:pt idx="0">
                  <c:v>2013-2014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4284544"/>
        <c:axId val="234286080"/>
      </c:barChart>
      <c:catAx>
        <c:axId val="234284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286080"/>
        <c:crosses val="autoZero"/>
        <c:auto val="1"/>
        <c:lblAlgn val="ctr"/>
        <c:lblOffset val="100"/>
        <c:noMultiLvlLbl val="0"/>
      </c:catAx>
      <c:valAx>
        <c:axId val="23428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4284544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3118</Words>
  <Characters>17775</Characters>
  <Application>Microsoft Office Word</Application>
  <DocSecurity>0</DocSecurity>
  <Lines>148</Lines>
  <Paragraphs>41</Paragraphs>
  <ScaleCrop>false</ScaleCrop>
  <Company>Microsoft</Company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2018-11-10T12:51:00Z</dcterms:created>
  <dcterms:modified xsi:type="dcterms:W3CDTF">2018-11-10T12:53:00Z</dcterms:modified>
</cp:coreProperties>
</file>